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الجنائي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262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101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1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شرعي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مادي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معنوي</w:t>
            </w:r>
            <w:r w:rsidDel="00000000" w:rsidR="00000000" w:rsidRPr="00000000">
              <w:rPr>
                <w:rtl w:val="1"/>
              </w:rPr>
              <w:t xml:space="preserve">). </w:t>
            </w:r>
            <w:r w:rsidDel="00000000" w:rsidR="00000000" w:rsidRPr="00000000">
              <w:rPr>
                <w:rtl w:val="1"/>
              </w:rPr>
              <w:t xml:space="preserve">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كمساهم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باعتباره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أصلية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شريكا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بالتسبب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تبعية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تبعا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للأفعال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ارتكبها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ثم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للمجرم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</w:t>
            </w:r>
            <w:r w:rsidDel="00000000" w:rsidR="00000000" w:rsidRPr="00000000">
              <w:rPr>
                <w:rtl w:val="1"/>
              </w:rPr>
              <w:t xml:space="preserve">َّ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توافر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الأهلية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ارتكاب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الإدراك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الاختيار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ودراسة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عوارض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يترتب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انعدام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الفعل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والأخير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1،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عر</w:t>
            </w:r>
            <w:r w:rsidDel="00000000" w:rsidR="00000000" w:rsidRPr="00000000">
              <w:rPr>
                <w:rtl w:val="1"/>
              </w:rPr>
              <w:t xml:space="preserve">ّ</w:t>
            </w:r>
            <w:r w:rsidDel="00000000" w:rsidR="00000000" w:rsidRPr="00000000">
              <w:rPr>
                <w:rtl w:val="1"/>
              </w:rPr>
              <w:t xml:space="preserve">ف</w:t>
            </w:r>
            <w:r w:rsidDel="00000000" w:rsidR="00000000" w:rsidRPr="00000000">
              <w:rPr>
                <w:rtl w:val="1"/>
              </w:rPr>
              <w:t xml:space="preserve">ْ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أقسامها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وتفريد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تخفيف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وتشديد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وتعليقها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وسقوطها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وبدائلها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تترتب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6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تزويد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تأسيسية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تؤهله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ويساعد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اللاحقة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2 </w:t>
            </w:r>
            <w:r w:rsidDel="00000000" w:rsidR="00000000" w:rsidRPr="00000000">
              <w:rPr>
                <w:rtl w:val="1"/>
              </w:rPr>
              <w:t xml:space="preserve">والقانون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3،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F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2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F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التكييف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وسقوطها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تعليقها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1،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والعقوبات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التجريم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المساهمين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مسئولية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1C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تشمل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وأقسامه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3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1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نطاق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الزمان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3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المكان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ind w:left="0" w:firstLine="0"/>
              <w:rPr/>
            </w:pPr>
            <w:r w:rsidDel="00000000" w:rsidR="00000000" w:rsidRPr="00000000">
              <w:rPr>
                <w:rtl w:val="1"/>
              </w:rPr>
              <w:t xml:space="preserve">الركن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الإسناد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).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الجنائية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الإباحة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للعقوبة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line="21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تعليق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العقاب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bidi w:val="1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dosbpycuvnc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7u7fmru6rak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762"/>
        <w:gridCol w:w="10"/>
        <w:gridCol w:w="2662"/>
        <w:gridCol w:w="2284"/>
        <w:tblGridChange w:id="0">
          <w:tblGrid>
            <w:gridCol w:w="853"/>
            <w:gridCol w:w="3762"/>
            <w:gridCol w:w="10"/>
            <w:gridCol w:w="2662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التكييف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تنفيذها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وسقوطها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تعليقها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الأبحاث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والنهائية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والعقوبات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والتطبيق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واجبات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والمبارزة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نقدية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بإشراف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وحضور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سريعة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نقدية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بإشراف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وحضور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سريعة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المذكرات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وتقديم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نقدية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بإشراف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وحضور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سريعة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bidi w:val="1"/>
              <w:ind w:left="201" w:hanging="15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التجريم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والتطبيق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واجبات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والمبارزة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والتطبيق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قضايا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وتحليلها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واجبات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1" w:right="0" w:hanging="159"/>
              <w:jc w:val="both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والمبارزة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المساهمين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مسئولية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تشكيل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والمبارزة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</w:p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قيادة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واجبات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منزلية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8 -9- 10-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الفصلي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قضية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جماعية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14+15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D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يخضعون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لإشراف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ايضا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E0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E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زكي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شناق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والعقوبة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وفق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أصدره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أنظمة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الشقري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 2021.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</w:t>
            </w: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الفتاح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الصيفي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1،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 2010.</w:t>
            </w:r>
          </w:p>
          <w:p w:rsidR="00000000" w:rsidDel="00000000" w:rsidP="00000000" w:rsidRDefault="00000000" w:rsidRPr="00000000" w14:paraId="000001E7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فتحي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سرور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، 1981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8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مأمون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، 1979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9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مصطفى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.، 1970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A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مصطفى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، 1969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EB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النهضة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القاهرة</w:t>
            </w:r>
            <w:r w:rsidDel="00000000" w:rsidR="00000000" w:rsidRPr="00000000">
              <w:rPr>
                <w:rtl w:val="1"/>
              </w:rPr>
              <w:t xml:space="preserve">، 1982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C">
            <w:pPr>
              <w:bidi w:val="1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color w:val="000000"/>
                <w:rtl w:val="1"/>
              </w:rPr>
              <w:t xml:space="preserve">مذكرات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بتلخيص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الملقاة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المادة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الداخلية</w:t>
            </w:r>
          </w:p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الخبراء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النيابة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lexis nexis</w:t>
            </w:r>
          </w:p>
        </w:tc>
      </w:tr>
    </w:tbl>
    <w:p w:rsidR="00000000" w:rsidDel="00000000" w:rsidP="00000000" w:rsidRDefault="00000000" w:rsidRPr="00000000" w14:paraId="000001F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F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دراسية</w:t>
            </w:r>
          </w:p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محكمة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0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جهاز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ذكية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39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3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3E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3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4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44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45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FD2A37"/>
    <w:pPr>
      <w:keepNext w:val="1"/>
      <w:bidi w:val="1"/>
      <w:jc w:val="both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FD2A37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tVbs5g9nHetBnZ9yDkt8c43ag==">AMUW2mWEN08+joSdltU+2NHjvklj5VhriMzvhqFs9T+BObwLRczoaN8pCpuXacdPD4yAPsShazDpkwWcEB6WtRcqZou8L/OQ6vkj0s4BaOdlh2BrA+HrV92UMYL3j9G/7C6UVf7PMs7tzs2BV/ZEyMzR39m99Fn3Z/mFo8oAmVMVd69aI4O6YcD1m+cDbt+aCmdkEpmiy8jXZpXn3er9Vg4coaoyU36fVLNPJORAUDw5UrHG1feQtumu2r3z6ioW6XnDfLfLT3vEyEuF5BxhhxJOpbhNjuZ/91EkhSpyEGvCJuImifaVrKoucspNmVN4emWfA7bOTsZ2Un000+8Du/aBuQvLbsgI0CyYL51yeDS1L0Jh8rRkPdeDxoHTxBJBH5FT9Pjo0Yo2IErWZ+tnMClySzEC89Mg5jDiklc7TbKv2Os7UaFLt7+8UOnbhg9XXJrb3rVceo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2021-10-21T19:31:00Z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