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549"/>
        <w:gridCol w:w="6776"/>
        <w:tblGridChange w:id="0">
          <w:tblGrid>
            <w:gridCol w:w="2549"/>
            <w:gridCol w:w="6776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الصياغة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باللغة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Law 230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الأمير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سلطان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التعريف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بالمقرر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الدراسي</w:t>
            </w:r>
          </w:hyperlink>
          <w:hyperlink w:anchor="_heading=h.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-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هدف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ومخرجاته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التعليمية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tl w:val="0"/>
              </w:rPr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الوصف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tl w:val="0"/>
              </w:rPr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الهدف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الرئيس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tl w:val="0"/>
              </w:rPr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3.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والتقييم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tl w:val="0"/>
              </w:rPr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ربط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مخرجات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مع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كل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استراتيجيات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التدريس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وطرق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التقييم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tl w:val="0"/>
              </w:rPr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هـ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-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أنشطة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الإرشاد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الأكاديمي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والدعم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الطلابي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–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والمرافق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tl w:val="0"/>
              </w:rPr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1.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قائمة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مصادر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التعلم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bidi w:val="1"/>
            <w:spacing w:after="100" w:before="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tl w:val="0"/>
              </w:rPr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2.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المرافق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والتجهيزات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المطلوبة</w:t>
            </w:r>
          </w:hyperlink>
          <w:hyperlink w:anchor="_heading=h.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ز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جودة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</w:hyperlink>
          <w:hyperlink w:anchor="_heading=h.44sinio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630"/>
            </w:tabs>
            <w:bidi w:val="1"/>
            <w:spacing w:after="10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اعتماد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التوصيف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bidi w:val="1"/>
            <w:jc w:val="right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8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0"/>
        </w:rPr>
        <w:t xml:space="preserve">: </w:t>
      </w:r>
    </w:p>
    <w:tbl>
      <w:tblPr>
        <w:tblStyle w:val="Table2"/>
        <w:bidiVisual w:val="1"/>
        <w:tblW w:w="932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64"/>
        <w:gridCol w:w="696"/>
        <w:gridCol w:w="856"/>
        <w:gridCol w:w="58"/>
        <w:gridCol w:w="213"/>
        <w:gridCol w:w="179"/>
        <w:gridCol w:w="270"/>
        <w:gridCol w:w="504"/>
        <w:gridCol w:w="270"/>
        <w:gridCol w:w="679"/>
        <w:gridCol w:w="270"/>
        <w:gridCol w:w="203"/>
        <w:gridCol w:w="431"/>
        <w:gridCol w:w="270"/>
        <w:gridCol w:w="1941"/>
        <w:gridCol w:w="270"/>
        <w:gridCol w:w="1751"/>
        <w:tblGridChange w:id="0">
          <w:tblGrid>
            <w:gridCol w:w="464"/>
            <w:gridCol w:w="696"/>
            <w:gridCol w:w="856"/>
            <w:gridCol w:w="58"/>
            <w:gridCol w:w="213"/>
            <w:gridCol w:w="179"/>
            <w:gridCol w:w="270"/>
            <w:gridCol w:w="504"/>
            <w:gridCol w:w="270"/>
            <w:gridCol w:w="679"/>
            <w:gridCol w:w="270"/>
            <w:gridCol w:w="203"/>
            <w:gridCol w:w="431"/>
            <w:gridCol w:w="270"/>
            <w:gridCol w:w="1941"/>
            <w:gridCol w:w="270"/>
            <w:gridCol w:w="1751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3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68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إجباري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000000" w:val="clear"/>
            <w:vAlign w:val="center"/>
          </w:tcPr>
          <w:p w:rsidR="00000000" w:rsidDel="00000000" w:rsidP="00000000" w:rsidRDefault="00000000" w:rsidRPr="00000000" w14:paraId="0000007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7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الثانية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–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الأول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9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Law 101</w:t>
            </w:r>
          </w:p>
          <w:p w:rsidR="00000000" w:rsidDel="00000000" w:rsidP="00000000" w:rsidRDefault="00000000" w:rsidRPr="00000000" w14:paraId="0000009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لا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يوجد</w:t>
            </w:r>
          </w:p>
          <w:p w:rsidR="00000000" w:rsidDel="00000000" w:rsidP="00000000" w:rsidRDefault="00000000" w:rsidRPr="00000000" w14:paraId="000000B4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DF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1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F3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Style w:val="Heading1"/>
        <w:rPr/>
      </w:pPr>
      <w:bookmarkStart w:colFirst="0" w:colLast="0" w:name="_heading=h.3znysh7" w:id="3"/>
      <w:bookmarkEnd w:id="3"/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5">
            <w:pPr>
              <w:pStyle w:val="Heading2"/>
              <w:numPr>
                <w:ilvl w:val="0"/>
                <w:numId w:val="5"/>
              </w:numPr>
              <w:bidi w:val="1"/>
              <w:ind w:left="720" w:hanging="360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1"/>
              </w:rPr>
              <w:t xml:space="preserve">الوصف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المهمة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للممارسة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اكتسبه</w:t>
            </w:r>
            <w:r w:rsidDel="00000000" w:rsidR="00000000" w:rsidRPr="00000000">
              <w:rPr>
                <w:rtl w:val="1"/>
              </w:rPr>
              <w:t xml:space="preserve">؛ </w:t>
            </w:r>
            <w:r w:rsidDel="00000000" w:rsidR="00000000" w:rsidRPr="00000000">
              <w:rPr>
                <w:rtl w:val="1"/>
              </w:rPr>
              <w:t xml:space="preserve">فيتناول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الصياغة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التركيز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الكفاءة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والقانونية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ويتناول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صياغة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الأوراق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والقضائية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المختلفة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ومنها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أوراق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الدعوى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وصياغة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العقود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الأبحاث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والمذكرات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وتقديم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الاستشارات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خلال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تقديم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الأعمال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كتابي</w:t>
            </w:r>
            <w:r w:rsidDel="00000000" w:rsidR="00000000" w:rsidRPr="00000000">
              <w:rPr>
                <w:rtl w:val="1"/>
              </w:rPr>
              <w:t xml:space="preserve">ًّ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ومناقشتها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شفوي</w:t>
            </w:r>
            <w:r w:rsidDel="00000000" w:rsidR="00000000" w:rsidRPr="00000000">
              <w:rPr>
                <w:rtl w:val="1"/>
              </w:rPr>
              <w:t xml:space="preserve">ًّ</w:t>
            </w:r>
            <w:r w:rsidDel="00000000" w:rsidR="00000000" w:rsidRPr="00000000">
              <w:rPr>
                <w:rtl w:val="1"/>
              </w:rPr>
              <w:t xml:space="preserve">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</w:t>
            </w:r>
            <w:r w:rsidDel="00000000" w:rsidR="00000000" w:rsidRPr="00000000">
              <w:rPr>
                <w:rtl w:val="1"/>
              </w:rPr>
              <w:t xml:space="preserve">ُ</w:t>
            </w:r>
            <w:r w:rsidDel="00000000" w:rsidR="00000000" w:rsidRPr="00000000">
              <w:rPr>
                <w:rtl w:val="1"/>
              </w:rPr>
              <w:t xml:space="preserve">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لسوق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وفق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المجالات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المستهدفة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8">
            <w:pPr>
              <w:pStyle w:val="Heading2"/>
              <w:numPr>
                <w:ilvl w:val="0"/>
                <w:numId w:val="5"/>
              </w:numPr>
              <w:bidi w:val="1"/>
              <w:ind w:left="720" w:hanging="360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9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الصياغة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باللغة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أساسي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بكالوريوس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جامعة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الأمير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سلطان</w:t>
            </w:r>
            <w:r w:rsidDel="00000000" w:rsidR="00000000" w:rsidRPr="00000000">
              <w:rPr>
                <w:rtl w:val="1"/>
              </w:rPr>
              <w:t xml:space="preserve">؛ </w:t>
            </w:r>
            <w:r w:rsidDel="00000000" w:rsidR="00000000" w:rsidRPr="00000000">
              <w:rPr>
                <w:rtl w:val="1"/>
              </w:rPr>
              <w:t xml:space="preserve">فبعد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اجتياز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بنجاح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واكتساب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المنشودة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يستطيع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/</w:t>
            </w:r>
            <w:r w:rsidDel="00000000" w:rsidR="00000000" w:rsidRPr="00000000">
              <w:rPr>
                <w:rtl w:val="1"/>
              </w:rPr>
              <w:t xml:space="preserve">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صياغة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عندما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يطلب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صياغة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بالإضافة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لصياغة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العقود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والأوراق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والقضائية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وإعداد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الاستشارات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وكتابة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الأبحاث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ومحاضر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التحقيق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بالشكل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المناسب</w:t>
            </w:r>
            <w:r w:rsidDel="00000000" w:rsidR="00000000" w:rsidRPr="00000000">
              <w:rPr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FA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pStyle w:val="Heading2"/>
        <w:bidi w:val="1"/>
        <w:rPr/>
      </w:pPr>
      <w:bookmarkStart w:colFirst="0" w:colLast="0" w:name="_heading=h.afmmzz4v3k8s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Style w:val="Heading2"/>
        <w:bidi w:val="1"/>
        <w:rPr/>
      </w:pPr>
      <w:bookmarkStart w:colFirst="0" w:colLast="0" w:name="_heading=h.xfq4ncl0oiw3" w:id="7"/>
      <w:bookmarkEnd w:id="7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00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01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3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0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6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ويحدد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المفاهيم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والمصطلحات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الأساسية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صياغة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والأوراق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يلخص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صياغة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الأوراق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والقضائية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يعدد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أنواع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الصياغة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1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2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5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يحلل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النصوص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ويميز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أنواع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الأوراق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والقضائية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للوصول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للاستنتاج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المناسب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8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النصوص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المسائل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يصيغ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الأوراق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والقضائية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ويقارن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مراحل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الصياغة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ويحلل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آثار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الصياغة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وأنواع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العقود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والأوراق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والقضائية</w:t>
            </w:r>
          </w:p>
          <w:p w:rsidR="00000000" w:rsidDel="00000000" w:rsidP="00000000" w:rsidRDefault="00000000" w:rsidRPr="00000000" w14:paraId="0000011C">
            <w:pPr>
              <w:bidi w:val="1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2.4.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1F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بمفردات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4</w:t>
            </w:r>
          </w:p>
          <w:p w:rsidR="00000000" w:rsidDel="00000000" w:rsidP="00000000" w:rsidRDefault="00000000" w:rsidRPr="00000000" w14:paraId="0000012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 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2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23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2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6">
            <w:pPr>
              <w:bidi w:val="1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ت</w:t>
            </w:r>
            <w:r w:rsidDel="00000000" w:rsidR="00000000" w:rsidRPr="00000000">
              <w:rPr>
                <w:rtl w:val="1"/>
              </w:rPr>
              <w:t xml:space="preserve">.</w:t>
            </w:r>
            <w:r w:rsidDel="00000000" w:rsidR="00000000" w:rsidRPr="00000000">
              <w:rPr>
                <w:rtl w:val="1"/>
              </w:rPr>
              <w:t xml:space="preserve">ع</w:t>
            </w:r>
            <w:r w:rsidDel="00000000" w:rsidR="00000000" w:rsidRPr="00000000">
              <w:rPr>
                <w:rtl w:val="1"/>
              </w:rPr>
              <w:t xml:space="preserve">. 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B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E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3...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2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1">
      <w:pPr>
        <w:bidi w:val="1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pStyle w:val="Heading1"/>
        <w:rPr/>
      </w:pPr>
      <w:bookmarkStart w:colFirst="0" w:colLast="0" w:name="_heading=h.1t3h5sf" w:id="8"/>
      <w:bookmarkEnd w:id="8"/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3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35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تعريف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الصياغة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وأنواعها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صياغة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الأوراق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القضائية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صياغة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العقود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صياغة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الأنظمة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واللوائح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صياغة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صياغة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محاضر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التحقيق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الاستشارات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4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4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14E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Style w:val="Heading1"/>
        <w:rPr/>
      </w:pPr>
      <w:bookmarkStart w:colFirst="0" w:colLast="0" w:name="_heading=h.4d34og8" w:id="9"/>
      <w:bookmarkEnd w:id="9"/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والتقييم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150">
      <w:pPr>
        <w:pStyle w:val="Heading2"/>
        <w:bidi w:val="1"/>
        <w:rPr/>
      </w:pPr>
      <w:bookmarkStart w:colFirst="0" w:colLast="0" w:name="_heading=h.2s8eyo1" w:id="10"/>
      <w:bookmarkEnd w:id="10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cantSplit w:val="0"/>
          <w:trHeight w:val="401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1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2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4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5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6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5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5A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يعرف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ويحدد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المفاهيم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والمصطلحات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الخاصة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بصياغة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القوانين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والأوراق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والقضائية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المناقشات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الاطلاع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الخارجي</w:t>
            </w:r>
          </w:p>
          <w:p w:rsidR="00000000" w:rsidDel="00000000" w:rsidP="00000000" w:rsidRDefault="00000000" w:rsidRPr="00000000" w14:paraId="0000015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الشهرية</w:t>
            </w:r>
          </w:p>
          <w:p w:rsidR="00000000" w:rsidDel="00000000" w:rsidP="00000000" w:rsidRDefault="00000000" w:rsidRPr="00000000" w14:paraId="0000016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يعدد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أنواع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الصياغة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ويلخص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صياغة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الأوراق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والقضائية</w:t>
            </w:r>
            <w:r w:rsidDel="00000000" w:rsidR="00000000" w:rsidRPr="00000000">
              <w:rPr>
                <w:rtl w:val="1"/>
              </w:rPr>
              <w:t xml:space="preserve">. 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6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المناقشات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الجماعية</w:t>
            </w:r>
            <w:r w:rsidDel="00000000" w:rsidR="00000000" w:rsidRPr="00000000">
              <w:rPr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6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6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الاطلاع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الخارجي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الاسئلة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16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القصيرة</w:t>
            </w:r>
          </w:p>
          <w:p w:rsidR="00000000" w:rsidDel="00000000" w:rsidP="00000000" w:rsidRDefault="00000000" w:rsidRPr="00000000" w14:paraId="0000016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الشهرية</w:t>
            </w:r>
          </w:p>
          <w:p w:rsidR="00000000" w:rsidDel="00000000" w:rsidP="00000000" w:rsidRDefault="00000000" w:rsidRPr="00000000" w14:paraId="0000016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E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F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3">
            <w:pPr>
              <w:bidi w:val="1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يفسر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آثار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صياغة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الاوراق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الصادرة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الجهات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الادارية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والشخصيات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المعنوية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العامة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والقضاء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rtl w:val="1"/>
              </w:rPr>
              <w:t xml:space="preserve">وبين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صياغة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الأوراق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الصادرة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الافراد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والاشخاص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المعنوية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الخاصة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75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79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7B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يطبق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النصوص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المسائل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خلال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دراسة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نماذج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قضايا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واقعية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7D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81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83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يقارن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بين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صياغة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الاوراق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الصادرة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الجهات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الادارية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والشخصيات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المعنوية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العامة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والقضاء</w:t>
            </w:r>
            <w:r w:rsidDel="00000000" w:rsidR="00000000" w:rsidRPr="00000000">
              <w:rPr>
                <w:color w:val="000000"/>
                <w:rtl w:val="1"/>
              </w:rPr>
              <w:t xml:space="preserve">، </w:t>
            </w:r>
            <w:r w:rsidDel="00000000" w:rsidR="00000000" w:rsidRPr="00000000">
              <w:rPr>
                <w:color w:val="000000"/>
                <w:rtl w:val="1"/>
              </w:rPr>
              <w:t xml:space="preserve">وبين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صياغة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الأوراق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القانونية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الصادرة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من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الافراد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والاشخاص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المعنوية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الخاصة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85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التدريب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العملي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التكاليف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 </w:t>
            </w:r>
          </w:p>
          <w:p w:rsidR="00000000" w:rsidDel="00000000" w:rsidP="00000000" w:rsidRDefault="00000000" w:rsidRPr="00000000" w14:paraId="00000189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المناقشات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الصفية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8B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يعد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البحوث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والتقارير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المواضيع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ذات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الصلة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8C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ومناقشتها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8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المهمات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المنزلية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8F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0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4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يتعاون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المهمات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الفردية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والجماعية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</w:t>
            </w:r>
            <w:r w:rsidDel="00000000" w:rsidR="00000000" w:rsidRPr="00000000">
              <w:rPr>
                <w:rtl w:val="1"/>
              </w:rPr>
              <w:t xml:space="preserve">صفية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95">
            <w:pPr>
              <w:spacing w:after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color w:val="000000"/>
                <w:rtl w:val="1"/>
              </w:rPr>
              <w:t xml:space="preserve">عرض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التكاليف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ومناقشتها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الابحاث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تقويم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الأعمال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</w:p>
          <w:p w:rsidR="00000000" w:rsidDel="00000000" w:rsidP="00000000" w:rsidRDefault="00000000" w:rsidRPr="00000000" w14:paraId="00000198">
            <w:pPr>
              <w:bidi w:val="1"/>
              <w:jc w:val="both"/>
              <w:rPr/>
            </w:pPr>
            <w:r w:rsidDel="00000000" w:rsidR="00000000" w:rsidRPr="00000000">
              <w:rPr>
                <w:color w:val="000000"/>
                <w:rtl w:val="1"/>
              </w:rPr>
              <w:t xml:space="preserve">تقويم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قائد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الفريق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البحثي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أو</w:t>
            </w:r>
            <w:r w:rsidDel="00000000" w:rsidR="00000000" w:rsidRPr="00000000">
              <w:rPr>
                <w:color w:val="000000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rtl w:val="1"/>
              </w:rPr>
              <w:t xml:space="preserve">النقاشي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B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C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pStyle w:val="Heading2"/>
        <w:bidi w:val="1"/>
        <w:rPr/>
      </w:pPr>
      <w:bookmarkStart w:colFirst="0" w:colLast="0" w:name="_heading=h.17dp8vu" w:id="11"/>
      <w:bookmarkEnd w:id="11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9576.000000000002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518.0000000000005"/>
        <w:gridCol w:w="2082"/>
        <w:tblGridChange w:id="0">
          <w:tblGrid>
            <w:gridCol w:w="421"/>
            <w:gridCol w:w="5555"/>
            <w:gridCol w:w="1518.0000000000005"/>
            <w:gridCol w:w="208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A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7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9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الإختبار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الأول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A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السادس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D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الاختبار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الفصلي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الثاني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E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التاسع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1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المهمات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المنزلية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2">
            <w:pPr>
              <w:bidi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الورقة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6">
            <w:pPr>
              <w:bidi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الخامس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العاشر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السادس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D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F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1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C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C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C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8">
      <w:pPr>
        <w:bidi w:val="1"/>
        <w:rPr/>
      </w:pPr>
      <w:bookmarkStart w:colFirst="0" w:colLast="0" w:name="_heading=h.3rdcrjn" w:id="12"/>
      <w:bookmarkEnd w:id="12"/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pStyle w:val="Heading1"/>
        <w:rPr/>
      </w:pP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-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الطلابي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يقو</w:t>
            </w:r>
            <w:r w:rsidDel="00000000" w:rsidR="00000000" w:rsidRPr="00000000">
              <w:rPr>
                <w:rtl w:val="1"/>
              </w:rPr>
              <w:t xml:space="preserve">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الأستاذ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ببيان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جدول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الصاقه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يبين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تواجده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بإمكان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يحضر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تواجد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كما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إلصاق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اسماء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يخضعون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لإشراف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مكتبه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ايضا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CB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Style w:val="Heading1"/>
        <w:rPr/>
      </w:pPr>
      <w:bookmarkStart w:colFirst="0" w:colLast="0" w:name="_heading=h.26in1rg" w:id="13"/>
      <w:bookmarkEnd w:id="13"/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1CF">
      <w:pPr>
        <w:pStyle w:val="Heading2"/>
        <w:bidi w:val="1"/>
        <w:rPr/>
      </w:pPr>
      <w:bookmarkStart w:colFirst="0" w:colLast="0" w:name="_heading=h.lnxbz9" w:id="14"/>
      <w:bookmarkEnd w:id="14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0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محمد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صبره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أصول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الصياغة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</w:p>
          <w:p w:rsidR="00000000" w:rsidDel="00000000" w:rsidP="00000000" w:rsidRDefault="00000000" w:rsidRPr="00000000" w14:paraId="000001D2">
            <w:pPr>
              <w:bidi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1"/>
              </w:rPr>
              <w:t xml:space="preserve">مذكرات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تكميلية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3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4">
            <w:pPr>
              <w:bidi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المراجع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صياغة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العقود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والاوراق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color="000000" w:space="1" w:sz="4" w:val="single"/>
                <w:left w:color="000000" w:space="4" w:sz="4" w:val="single"/>
                <w:bottom w:space="0" w:sz="0" w:val="nil"/>
                <w:right w:color="000000" w:space="4" w:sz="4" w:val="single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يستعين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بالمواقع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الإلكترونية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D7">
            <w:pPr>
              <w:bidi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موقع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أستاذ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المادة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الجامعة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والذي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يحتوي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كافة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المواقع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مدونة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DA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https://www.moj.gov.sa/ar-sa/ministry/versions/Documents/50.pdf</w:t>
            </w:r>
          </w:p>
        </w:tc>
      </w:tr>
    </w:tbl>
    <w:p w:rsidR="00000000" w:rsidDel="00000000" w:rsidP="00000000" w:rsidRDefault="00000000" w:rsidRPr="00000000" w14:paraId="000001DB">
      <w:pPr>
        <w:pStyle w:val="Heading2"/>
        <w:bidi w:val="1"/>
        <w:rPr>
          <w:sz w:val="14"/>
          <w:szCs w:val="14"/>
        </w:rPr>
      </w:pPr>
      <w:bookmarkStart w:colFirst="0" w:colLast="0" w:name="_heading=h.35nkun2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pStyle w:val="Heading2"/>
        <w:bidi w:val="1"/>
        <w:rPr/>
      </w:pPr>
      <w:bookmarkStart w:colFirst="0" w:colLast="0" w:name="_heading=h.1ksv4uv" w:id="16"/>
      <w:bookmarkEnd w:id="1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0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D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F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1E0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القاعات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الدراسية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،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المختبرات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،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قاعات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العرض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،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قاعات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المحاكاة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...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إلخ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1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قاعة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1E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جهاز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عرض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،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السبورة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الذكية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،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البرمجيات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4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تتوفر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قاعات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مجهزة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بالاتصال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بالإنترنت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أجهزة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كمبيوتر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أكثر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مكان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الجامعة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لخدمة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الطلاب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تبعا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ً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لطبيعة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التخصص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bidi w:val="1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تم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تجهيز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الفصول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بالسمارت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بورد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والبروجكترات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7">
      <w:pPr>
        <w:pStyle w:val="Heading1"/>
        <w:rPr/>
      </w:pPr>
      <w:bookmarkStart w:colFirst="0" w:colLast="0" w:name="_heading=h.44sinio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pStyle w:val="Heading1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3"/>
        <w:bidiVisual w:val="1"/>
        <w:tblW w:w="9571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A">
            <w:pPr>
              <w:bidi w:val="1"/>
              <w:jc w:val="center"/>
              <w:rPr/>
            </w:pPr>
            <w:bookmarkStart w:colFirst="0" w:colLast="0" w:name="_heading=h.2jxsxqh" w:id="18"/>
            <w:bookmarkEnd w:id="18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bidi w:val="1"/>
              <w:jc w:val="both"/>
              <w:rPr/>
            </w:pPr>
            <w:bookmarkStart w:colFirst="0" w:colLast="0" w:name="_heading=h.z337ya" w:id="19"/>
            <w:bookmarkEnd w:id="19"/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التدريس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منسق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EE">
            <w:pPr>
              <w:bidi w:val="1"/>
              <w:jc w:val="both"/>
              <w:rPr/>
            </w:pPr>
            <w:bookmarkStart w:colFirst="0" w:colLast="0" w:name="_heading=h.3j2qqm3" w:id="20"/>
            <w:bookmarkEnd w:id="20"/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peer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observation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E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السنوي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الزملاء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  <w:p w:rsidR="00000000" w:rsidDel="00000000" w:rsidP="00000000" w:rsidRDefault="00000000" w:rsidRPr="00000000" w14:paraId="000001F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فاعلية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أساليب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نتائج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تحصيل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1F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مخرجات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استبيان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نهاية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F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جودة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مصادر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التعلم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أستاذ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20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تقرير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20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تقييم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CES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7">
      <w:pPr>
        <w:bidi w:val="1"/>
        <w:rPr>
          <w:b w:val="1"/>
          <w:sz w:val="20"/>
          <w:szCs w:val="20"/>
        </w:rPr>
      </w:pPr>
      <w:bookmarkStart w:colFirst="0" w:colLast="0" w:name="_heading=h.1y810tw" w:id="21"/>
      <w:bookmarkEnd w:id="21"/>
      <w:r w:rsidDel="00000000" w:rsidR="00000000" w:rsidRPr="00000000">
        <w:rPr>
          <w:sz w:val="20"/>
          <w:szCs w:val="20"/>
          <w:rtl w:val="1"/>
        </w:rPr>
        <w:t xml:space="preserve">مجالات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التقويم</w:t>
      </w:r>
      <w:r w:rsidDel="00000000" w:rsidR="00000000" w:rsidRPr="00000000">
        <w:rPr>
          <w:sz w:val="20"/>
          <w:szCs w:val="20"/>
          <w:rtl w:val="1"/>
        </w:rPr>
        <w:t xml:space="preserve">: 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 </w:t>
      </w:r>
      <w:r w:rsidDel="00000000" w:rsidR="00000000" w:rsidRPr="00000000">
        <w:rPr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sz w:val="20"/>
          <w:szCs w:val="20"/>
          <w:rtl w:val="1"/>
        </w:rPr>
        <w:t xml:space="preserve">: 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: 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Style w:val="Heading1"/>
        <w:rPr/>
      </w:pPr>
      <w:bookmarkStart w:colFirst="0" w:colLast="0" w:name="_heading=h.2xcytpi" w:id="22"/>
      <w:bookmarkEnd w:id="22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4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792"/>
        <w:gridCol w:w="7533"/>
        <w:tblGridChange w:id="0">
          <w:tblGrid>
            <w:gridCol w:w="1792"/>
            <w:gridCol w:w="7533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09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0A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20B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20C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0D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0E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0F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10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211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-371028</wp:posOffset>
          </wp:positionV>
          <wp:extent cx="7313289" cy="761800"/>
          <wp:effectExtent b="0" l="0" r="0" t="0"/>
          <wp:wrapNone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7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5842000</wp:posOffset>
              </wp:positionH>
              <wp:positionV relativeFrom="paragraph">
                <wp:posOffset>-241299</wp:posOffset>
              </wp:positionV>
              <wp:extent cx="598170" cy="419100"/>
              <wp:effectExtent b="0" l="0" r="0" t="0"/>
              <wp:wrapSquare wrapText="bothSides" distB="0" distT="0" distL="114300" distR="114300"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17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-547419</wp:posOffset>
          </wp:positionH>
          <wp:positionV relativeFrom="paragraph">
            <wp:posOffset>-72464</wp:posOffset>
          </wp:positionV>
          <wp:extent cx="7127737" cy="10080000"/>
          <wp:effectExtent b="0" l="0" r="0" t="0"/>
          <wp:wrapNone/>
          <wp:docPr id="1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right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right"/>
    </w:pPr>
    <w:rPr>
      <w:rFonts w:ascii="Arial" w:cs="Arial" w:eastAsia="Arial" w:hAnsi="Arial"/>
      <w:b w:val="1"/>
      <w:color w:val="273444"/>
      <w:sz w:val="22"/>
      <w:szCs w:val="22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qFormat w:val="1"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1C3FF9"/>
    <w:pPr>
      <w:keepNext w:val="1"/>
      <w:spacing w:after="60" w:line="312" w:lineRule="atLeast"/>
      <w:jc w:val="right"/>
      <w:outlineLvl w:val="0"/>
    </w:pPr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paragraph" w:styleId="Heading2">
    <w:name w:val="heading 2"/>
    <w:basedOn w:val="Normal"/>
    <w:next w:val="Normal"/>
    <w:link w:val="Heading2Char"/>
    <w:autoRedefine w:val="1"/>
    <w:qFormat w:val="1"/>
    <w:rsid w:val="005C735D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Heading3">
    <w:name w:val="heading 3"/>
    <w:basedOn w:val="Normal"/>
    <w:next w:val="Normal"/>
    <w:link w:val="Heading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Heading4">
    <w:name w:val="heading 4"/>
    <w:basedOn w:val="Normal"/>
    <w:next w:val="Normal"/>
    <w:link w:val="Heading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Heading7">
    <w:name w:val="heading 7"/>
    <w:basedOn w:val="Normal"/>
    <w:next w:val="Normal"/>
    <w:link w:val="Heading7Char"/>
    <w:qFormat w:val="1"/>
    <w:rsid w:val="00B1176F"/>
    <w:pPr>
      <w:spacing w:after="60" w:before="240"/>
      <w:outlineLvl w:val="6"/>
    </w:pPr>
  </w:style>
  <w:style w:type="paragraph" w:styleId="Heading8">
    <w:name w:val="heading 8"/>
    <w:basedOn w:val="Normal"/>
    <w:next w:val="Normal"/>
    <w:link w:val="Heading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Heading9">
    <w:name w:val="heading 9"/>
    <w:basedOn w:val="Normal"/>
    <w:next w:val="Normal"/>
    <w:link w:val="Heading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 w:val="1"/>
      <w:bCs w:val="1"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 w:val="1"/>
      <w:bCs w:val="1"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 w:val="1"/>
    <w:rsid w:val="00B1176F"/>
    <w:rPr>
      <w:b w:val="1"/>
      <w:bCs w:val="1"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 w:val="1"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 w:val="1"/>
    <w:rsid w:val="00FC79D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FC79D1"/>
    <w:rPr>
      <w:rFonts w:ascii="Tahoma" w:cs="Tahoma" w:hAnsi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A37EA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DB1943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 w:val="1"/>
    <w:rsid w:val="00E54C65"/>
    <w:rPr>
      <w:b w:val="1"/>
      <w:bCs w:val="1"/>
    </w:rPr>
  </w:style>
  <w:style w:type="character" w:styleId="Heading3Char" w:customStyle="1">
    <w:name w:val="Heading 3 Char"/>
    <w:link w:val="Heading3"/>
    <w:rsid w:val="00A3606A"/>
    <w:rPr>
      <w:b w:val="1"/>
      <w:bCs w:val="1"/>
      <w:sz w:val="32"/>
      <w:szCs w:val="24"/>
    </w:rPr>
  </w:style>
  <w:style w:type="character" w:styleId="HeaderChar" w:customStyle="1">
    <w:name w:val="Header Char"/>
    <w:link w:val="Header"/>
    <w:uiPriority w:val="99"/>
    <w:rsid w:val="00A3606A"/>
    <w:rPr>
      <w:sz w:val="24"/>
      <w:szCs w:val="24"/>
    </w:rPr>
  </w:style>
  <w:style w:type="character" w:styleId="Heading7Char" w:customStyle="1">
    <w:name w:val="Heading 7 Char"/>
    <w:link w:val="Heading7"/>
    <w:rsid w:val="00886520"/>
    <w:rPr>
      <w:sz w:val="24"/>
      <w:szCs w:val="24"/>
    </w:rPr>
  </w:style>
  <w:style w:type="character" w:styleId="BodyTextChar" w:customStyle="1">
    <w:name w:val="Body Text Char"/>
    <w:link w:val="BodyText"/>
    <w:rsid w:val="00886520"/>
    <w:rPr>
      <w:b w:val="1"/>
      <w:bCs w:val="1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rsid w:val="00886520"/>
  </w:style>
  <w:style w:type="character" w:styleId="SubtitleChar" w:customStyle="1">
    <w:name w:val="Subtitle Char"/>
    <w:link w:val="Subtitle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Normal"/>
    <w:rsid w:val="00D47DF9"/>
    <w:pPr>
      <w:spacing w:after="100" w:afterAutospacing="1" w:before="100" w:beforeAutospacing="1"/>
    </w:pPr>
  </w:style>
  <w:style w:type="character" w:styleId="TitleChar" w:customStyle="1">
    <w:name w:val="Title Char"/>
    <w:link w:val="Title"/>
    <w:rsid w:val="00D47DF9"/>
    <w:rPr>
      <w:sz w:val="32"/>
      <w:szCs w:val="32"/>
      <w:lang w:val="en-GB"/>
    </w:rPr>
  </w:style>
  <w:style w:type="character" w:styleId="Heading1Char" w:customStyle="1">
    <w:name w:val="Heading 1 Char"/>
    <w:link w:val="Heading1"/>
    <w:rsid w:val="001C3FF9"/>
    <w:rPr>
      <w:rFonts w:ascii="Arial" w:cs="Arial" w:hAnsi="Arial"/>
      <w:b w:val="1"/>
      <w:bCs w:val="1"/>
      <w:color w:val="273444"/>
      <w:sz w:val="22"/>
      <w:szCs w:val="22"/>
      <w:lang w:bidi="ar-EG"/>
    </w:rPr>
  </w:style>
  <w:style w:type="character" w:styleId="Heading2Char" w:customStyle="1">
    <w:name w:val="Heading 2 Char"/>
    <w:link w:val="Heading2"/>
    <w:rsid w:val="005C735D"/>
    <w:rPr>
      <w:rFonts w:asciiTheme="majorBidi" w:cstheme="majorBidi" w:hAnsiTheme="majorBidi"/>
      <w:b w:val="1"/>
      <w:bCs w:val="1"/>
      <w:sz w:val="24"/>
      <w:szCs w:val="24"/>
    </w:rPr>
  </w:style>
  <w:style w:type="character" w:styleId="Heading4Char" w:customStyle="1">
    <w:name w:val="Heading 4 Char"/>
    <w:link w:val="Heading4"/>
    <w:rsid w:val="00D47DF9"/>
    <w:rPr>
      <w:b w:val="1"/>
      <w:bCs w:val="1"/>
      <w:sz w:val="28"/>
      <w:szCs w:val="28"/>
    </w:rPr>
  </w:style>
  <w:style w:type="character" w:styleId="Heading5Char" w:customStyle="1">
    <w:name w:val="Heading 5 Char"/>
    <w:link w:val="Heading5"/>
    <w:rsid w:val="00D47DF9"/>
    <w:rPr>
      <w:b w:val="1"/>
      <w:sz w:val="24"/>
      <w:szCs w:val="28"/>
      <w:lang w:bidi="ar-EG"/>
    </w:rPr>
  </w:style>
  <w:style w:type="character" w:styleId="Heading6Char" w:customStyle="1">
    <w:name w:val="Heading 6 Char"/>
    <w:link w:val="Heading6"/>
    <w:rsid w:val="00D47DF9"/>
    <w:rPr>
      <w:b w:val="1"/>
      <w:bCs w:val="1"/>
      <w:sz w:val="24"/>
      <w:szCs w:val="28"/>
    </w:rPr>
  </w:style>
  <w:style w:type="character" w:styleId="Heading8Char" w:customStyle="1">
    <w:name w:val="Heading 8 Char"/>
    <w:link w:val="Heading8"/>
    <w:rsid w:val="00D47DF9"/>
    <w:rPr>
      <w:i w:val="1"/>
      <w:iCs w:val="1"/>
      <w:sz w:val="24"/>
      <w:szCs w:val="24"/>
    </w:rPr>
  </w:style>
  <w:style w:type="character" w:styleId="Heading9Char" w:customStyle="1">
    <w:name w:val="Heading 9 Char"/>
    <w:link w:val="Heading9"/>
    <w:rsid w:val="00D47DF9"/>
    <w:rPr>
      <w:rFonts w:ascii="Arial" w:cs="Arial" w:hAnsi="Arial"/>
      <w:sz w:val="22"/>
      <w:szCs w:val="22"/>
    </w:rPr>
  </w:style>
  <w:style w:type="character" w:styleId="BodyTextIndentChar" w:customStyle="1">
    <w:name w:val="Body Text Indent Char"/>
    <w:link w:val="BodyTextIndent"/>
    <w:rsid w:val="00D47DF9"/>
    <w:rPr>
      <w:sz w:val="24"/>
      <w:szCs w:val="24"/>
    </w:rPr>
  </w:style>
  <w:style w:type="character" w:styleId="BodyText2Char" w:customStyle="1">
    <w:name w:val="Body Text 2 Char"/>
    <w:link w:val="BodyText2"/>
    <w:rsid w:val="00D47DF9"/>
    <w:rPr>
      <w:b w:val="1"/>
      <w:bCs w:val="1"/>
      <w:sz w:val="28"/>
      <w:szCs w:val="28"/>
    </w:rPr>
  </w:style>
  <w:style w:type="character" w:styleId="BodyTextIndent2Char" w:customStyle="1">
    <w:name w:val="Body Text Indent 2 Char"/>
    <w:link w:val="BodyTextIndent2"/>
    <w:rsid w:val="00D47DF9"/>
    <w:rPr>
      <w:szCs w:val="24"/>
    </w:rPr>
  </w:style>
  <w:style w:type="character" w:styleId="BodyText3Char" w:customStyle="1">
    <w:name w:val="Body Text 3 Char"/>
    <w:link w:val="BodyText3"/>
    <w:rsid w:val="00D47DF9"/>
    <w:rPr>
      <w:lang w:bidi="ar-EG"/>
    </w:rPr>
  </w:style>
  <w:style w:type="character" w:styleId="DocumentMapChar" w:customStyle="1">
    <w:name w:val="Document Map Char"/>
    <w:link w:val="DocumentMap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F5F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F5FB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TableNormal"/>
    <w:uiPriority w:val="50"/>
    <w:rsid w:val="00312DD9"/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NoSpacing">
    <w:name w:val="No Spacing"/>
    <w:uiPriority w:val="1"/>
    <w:qFormat w:val="1"/>
    <w:rsid w:val="00EF018C"/>
    <w:rPr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98321D"/>
    <w:pPr>
      <w:spacing w:after="100" w:afterAutospacing="1" w:before="100" w:beforeAutospacing="1"/>
    </w:pPr>
    <w:rPr>
      <w:lang w:eastAsia="en-GB" w:val="en-GB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Wl+683a6pNSkC5bX4dhdgxUD6A==">AMUW2mXcQtyQ3/6E+QaiLc2nct0ERX3N276yqkmGyf85SVZ0V9SoYxrbbmEVoWDPYx6v0Ne/eQCvsTOZcPbI9q4NGfh/sYrjW0n0Jt8vPBhbfiEpEJqvbOYTZAjitYF8VvBNvLIPX/+PRFz/7K+xFMKENSnmWBDbvI8QKbGfbytghS8yP7NiZAocRpz4++xOwJDX7RtQHq0OX56coepMSEFCsfwf44hJxo3hDcuggpGBEFDc3L62SIUZiNoEDnI77KxC4cqhXetc1B0uyCqLZj3k3FwOzYq06fzeqlWNvuIWd6fPzP8jFCiSTfLfW2CGrY+qbbGB3j8Av4ZeUtwmyPPCJIURHjA5dC0s/MXxVswc1ip8ZuKV+DEcKj37KAr6HnFdeUoFlP8Ft65fGJQuudPH34VPnBKXUnqv6zFbsYreiu2qPGeP+SThpvphrUAKRf4NkgIB0l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2021-10-22T16:03:00Z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