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نظام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الزكاة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والضرائب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357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tl w:val="0"/>
              </w:rPr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Law 243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numPr>
                <w:ilvl w:val="0"/>
                <w:numId w:val="1"/>
              </w:numPr>
              <w:bidi w:val="1"/>
              <w:ind w:left="720" w:hanging="36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الاجبارية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مرحلة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البكالوريوس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ويشترط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لدراسته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(1). </w:t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الزكاة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خصائصها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أهدافها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وشروطها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الأموال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الزكاة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الوعاء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الزكوي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السائدة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الضريبي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خصائصه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أهدافه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الضرائب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وعائها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وربطها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جبايتها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المنازعات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والاعتراض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الربوط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الضريبية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7">
            <w:pPr>
              <w:pStyle w:val="Heading2"/>
              <w:bidi w:val="1"/>
              <w:ind w:firstLine="36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pStyle w:val="Heading2"/>
              <w:bidi w:val="1"/>
              <w:ind w:firstLine="360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بكالوريوس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للتعريف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بالزكاة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خصائصها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أهدافها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وشروطها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الأموال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تجب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الوعاء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الزكوي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وفق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الأنظمة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السائدة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وبالنسبة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للوعاء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الضريبي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تعريفه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خصائصه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أهدافه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أنواع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الضرائب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وعائها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وبيان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جبايتها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المنازعات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والاعتراض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الربوط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المقدرة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الضريبية</w:t>
            </w:r>
          </w:p>
          <w:p w:rsidR="00000000" w:rsidDel="00000000" w:rsidP="00000000" w:rsidRDefault="00000000" w:rsidRPr="00000000" w14:paraId="000000FC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pStyle w:val="Heading2"/>
        <w:bidi w:val="1"/>
        <w:ind w:firstLine="360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7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تعرف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المبادئ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النظامية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الشرعية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تنظم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الزكاة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والضريبة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A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تعدد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وتضبط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وجباية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الزكاة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والضريبة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D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3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تحدد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النظامية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الشرعية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والنظريات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تنطبق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وقائع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الحالات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الدراسية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والتوصل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للاستنتاجات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المناسبة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ويحلل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الوقائع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والقوانين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الحالات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التطبيقية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المختلفة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والجماعية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الشريعة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ادلة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وجوب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الاحكام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للزكاة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تجب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فوائد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الشروط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توافرها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الخاضع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الاموال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الخاضعة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والغير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خاضعة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حساب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الحسابات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الفطر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اخراج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الفطر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الزكاة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الضرائب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التنظيم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للضريبة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التنظيم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للضريبة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المترتبة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الضريبة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الازدواج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الضريبي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التهرب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الضريبي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5E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rPr/>
      </w:pPr>
      <w:bookmarkStart w:colFirst="0" w:colLast="0" w:name="_heading=h.2s8eyo1" w:id="9"/>
      <w:bookmarkEnd w:id="9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60">
      <w:pPr>
        <w:pStyle w:val="Heading2"/>
        <w:bidi w:val="1"/>
        <w:ind w:firstLine="360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المبادئ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النظامية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والقواعد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تنظم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الزكاة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والضريبة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6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7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وتضبط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وجباية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الضريبة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يحدد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النظامية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الشرعية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والنظريات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تنطبق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وقائع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الحالات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الدراسية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7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9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وتحلل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الوقائع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والقوانين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الحالات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التطبيقية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المختلفة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C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0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2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يشرح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خطوات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رفع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طلب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الواجب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اتباعها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لاستصدار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حكم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الجبري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3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تطبق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المشاكل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المطروحة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96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pStyle w:val="Heading2"/>
        <w:bidi w:val="1"/>
        <w:ind w:firstLine="360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8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D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DE">
      <w:pPr>
        <w:pStyle w:val="Heading1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E2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Style w:val="Heading1"/>
        <w:rPr/>
      </w:pPr>
      <w:bookmarkStart w:colFirst="0" w:colLast="0" w:name="_heading=h.lnxbz9" w:id="13"/>
      <w:bookmarkEnd w:id="13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E4">
      <w:pPr>
        <w:pStyle w:val="Heading2"/>
        <w:bidi w:val="1"/>
        <w:ind w:firstLine="360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bidi w:val="1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إبراهيم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السوقي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الزكاة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والضرائب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مكتبة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الرشد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1 1437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الزكاة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والضرائب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ضوء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جباية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الزكاة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وضريبة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محمود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الدمرداش</w:t>
            </w:r>
            <w:r w:rsidDel="00000000" w:rsidR="00000000" w:rsidRPr="00000000">
              <w:rPr>
                <w:rtl w:val="1"/>
              </w:rPr>
              <w:t xml:space="preserve">، 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الاجادة</w:t>
            </w:r>
            <w:r w:rsidDel="00000000" w:rsidR="00000000" w:rsidRPr="00000000">
              <w:rPr>
                <w:rtl w:val="1"/>
              </w:rPr>
              <w:t xml:space="preserve">، 2021</w:t>
            </w:r>
          </w:p>
          <w:p w:rsidR="00000000" w:rsidDel="00000000" w:rsidP="00000000" w:rsidRDefault="00000000" w:rsidRPr="00000000" w14:paraId="000001E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1F1">
      <w:pPr>
        <w:pStyle w:val="Heading2"/>
        <w:bidi w:val="1"/>
        <w:ind w:firstLine="360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Style w:val="Heading2"/>
        <w:bidi w:val="1"/>
        <w:ind w:firstLine="360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F6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تتسع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لـ</w:t>
            </w:r>
            <w:r w:rsidDel="00000000" w:rsidR="00000000" w:rsidRPr="00000000">
              <w:rPr>
                <w:rtl w:val="1"/>
              </w:rPr>
              <w:t xml:space="preserve"> 30 </w:t>
            </w:r>
            <w:r w:rsidDel="00000000" w:rsidR="00000000" w:rsidRPr="00000000">
              <w:rPr>
                <w:rtl w:val="1"/>
              </w:rPr>
              <w:t xml:space="preserve">طالب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F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تتوفر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بالإنترنت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بالإضافة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كمبيوتر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لخدمة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تجهيز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بالسمارت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بورد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والبروجكترات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1FD">
      <w:pPr>
        <w:pStyle w:val="Heading1"/>
        <w:rPr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center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both"/>
              <w:rPr/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peer observation))</w:t>
            </w:r>
          </w:p>
          <w:p w:rsidR="00000000" w:rsidDel="00000000" w:rsidP="00000000" w:rsidRDefault="00000000" w:rsidRPr="00000000" w14:paraId="0000020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0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bidi w:val="1"/>
        <w:rPr>
          <w:color w:val="c00000"/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bidi w:val="1"/>
        <w:rPr>
          <w:sz w:val="20"/>
          <w:szCs w:val="20"/>
        </w:rPr>
      </w:pPr>
      <w:bookmarkStart w:colFirst="0" w:colLast="0" w:name="_heading=h.4i7ojhp" w:id="21"/>
      <w:bookmarkEnd w:id="21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26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Style w:val="Heading1"/>
        <w:rPr/>
      </w:pPr>
      <w:bookmarkStart w:colFirst="0" w:colLast="0" w:name="_heading=h.2xcytpi" w:id="22"/>
      <w:bookmarkEnd w:id="22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9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2A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2B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2C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D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2E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F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30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31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Sakkal Majall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  <w:ind w:left="360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  <w:ind w:left="360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621133"/>
    <w:pPr>
      <w:keepNext w:val="1"/>
      <w:bidi w:val="1"/>
      <w:ind w:left="360"/>
      <w:jc w:val="both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621133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character" w:styleId="hps" w:customStyle="1">
    <w:name w:val="hps"/>
    <w:basedOn w:val="DefaultParagraphFont"/>
    <w:rsid w:val="00237092"/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N5866yw+WEoHyvb6S44WWYeDw==">AMUW2mVeenYI172m3rqHE6D8MXAFMpk5vgRgVGJW6Qv0UibxsUhBKfH2FNjqqng2y+qLbnMw95RiJTXXFbSmRcC8urS+TLZqFrzgAFOjIw7EPvSJIkA35NLtSrlNyE+TKqtlML6SFuf4j++FzC+7CnHO8jyiokU1vGVsWtQqrfCZxMaFd9KQTFaWKBa6jTgYBXVqorydsg7e9bmUz0d1ycOR2ESqWkOhFH8DQLVBqZ4jvgv7UGe0/+2aQrukN4ZRL3DN8MiRX1D15ZblyiRZH57T4WKRfneoky+6u5vJSzbkI1Uua+RuHNI6A2T4wJrK+eyeVM3Ri6jL7Q4o+aAnrm1WFA8oRTYAD+zXNQaRn1XChTGEOBccnYP7vtvL/f3PyCWkVrsdww6Nxu92IqnNzld+fF7plkav2bmfizEbazAjSZ7/EvOa/6PIVzCB8qjGHti/Z3Da84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2021-11-02T22:16:00Z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