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نظريات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والالتزام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213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الخاص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جامهة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tl w:val="0"/>
              </w:rPr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Law112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numPr>
                <w:ilvl w:val="0"/>
                <w:numId w:val="11"/>
              </w:numPr>
              <w:bidi w:val="1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ind w:left="360" w:firstLine="0"/>
              <w:rPr/>
            </w:pP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لمنظومة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لبرنامج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مرحلة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البكالوريوس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إكمال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, </w:t>
            </w:r>
            <w:r w:rsidDel="00000000" w:rsidR="00000000" w:rsidRPr="00000000">
              <w:rPr>
                <w:rtl w:val="1"/>
              </w:rPr>
              <w:t xml:space="preserve">فبعد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يدرك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الدائن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حقه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بتدريس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الطبيعي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الأوصاف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المعدلة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الشرط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والأجل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الدائنين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حوالة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حوالة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الدين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بالوفاء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يعادل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الوفاء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الوفاء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بمقابل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التجديد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الإنابة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الوفاء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المقاصة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اتحاد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وفاء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تعتمد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الكثير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بكالوريوس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اجتياز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المنشوده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والمدني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لمقرري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والأموال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الضمانات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والعينية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فبدونه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إدراك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للمقرين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pStyle w:val="Heading2"/>
        <w:bidi w:val="1"/>
        <w:rPr/>
      </w:pPr>
      <w:bookmarkStart w:colFirst="0" w:colLast="0" w:name="_heading=h.1t3h5sf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4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تنفيذ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وانقضاء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حماية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تنفيذ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وانقضاء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تنفيذ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وانقضائه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1"/>
        <w:rPr/>
      </w:pPr>
      <w:bookmarkStart w:colFirst="0" w:colLast="0" w:name="_heading=h.4d34og8" w:id="6"/>
      <w:bookmarkEnd w:id="6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والأثر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الإحتياطي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الناقص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الطبيعي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الإختياري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قاعدة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أطراف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رفض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هلاك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الشيء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نفقات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إثبات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يعادل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الإعتياضي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التجديد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الإتفاقية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السندات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العيني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19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بمقابل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بمقابل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التعويض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التعويض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التعويض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التعويض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الاتفاقي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الغرامة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التأخيرية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الغرامة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التهديديية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حماية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المباشرة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البوليصية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الصورية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الحجر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الإعسار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الاحتباس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أوصاف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الإلتزام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الشرط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الأجل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bidi w:val="1"/>
              <w:spacing w:line="21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الإلتزام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المشترك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التضامن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التضامن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السلبي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bidi w:val="1"/>
              <w:spacing w:line="21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انقضاء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الحق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الإبراء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التقادم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181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2s8eyo1" w:id="7"/>
      <w:bookmarkEnd w:id="7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183">
      <w:pPr>
        <w:pStyle w:val="Heading2"/>
        <w:bidi w:val="1"/>
        <w:rPr/>
      </w:pPr>
      <w:bookmarkStart w:colFirst="0" w:colLast="0" w:name="_heading=h.17dp8vu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تنفيذ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وانقضاء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حماية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تنفيذ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وانقضاء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تنفيذ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وانقضائه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spacing w:after="240" w:lineRule="auto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pStyle w:val="Heading2"/>
        <w:bidi w:val="1"/>
        <w:rPr/>
      </w:pPr>
      <w:bookmarkStart w:colFirst="0" w:colLast="0" w:name="_heading=h.3rdcrjn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54"/>
        <w:gridCol w:w="2046.0000000000002"/>
        <w:tblGridChange w:id="0">
          <w:tblGrid>
            <w:gridCol w:w="421"/>
            <w:gridCol w:w="5555"/>
            <w:gridCol w:w="1554"/>
            <w:gridCol w:w="2046.00000000000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1">
      <w:pPr>
        <w:pStyle w:val="Heading1"/>
        <w:rPr/>
      </w:pPr>
      <w:bookmarkStart w:colFirst="0" w:colLast="0" w:name="_heading=h.26in1r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04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Style w:val="Heading1"/>
        <w:rPr/>
      </w:pPr>
      <w:bookmarkStart w:colFirst="0" w:colLast="0" w:name="_heading=h.lnxbz9" w:id="11"/>
      <w:bookmarkEnd w:id="11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206">
      <w:pPr>
        <w:pStyle w:val="Heading2"/>
        <w:bidi w:val="1"/>
        <w:rPr/>
      </w:pPr>
      <w:bookmarkStart w:colFirst="0" w:colLast="0" w:name="_heading=h.35nkun2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pStyle w:val="Heading1"/>
              <w:rPr/>
            </w:pP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خالد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عبدالمجيد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الجامعي</w:t>
            </w:r>
            <w:r w:rsidDel="00000000" w:rsidR="00000000" w:rsidRPr="00000000">
              <w:rPr>
                <w:rtl w:val="1"/>
              </w:rPr>
              <w:t xml:space="preserve">- 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  <w:t xml:space="preserve"> - 2019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B">
            <w:pPr>
              <w:pStyle w:val="Heading1"/>
              <w:rPr/>
            </w:pPr>
            <w:r w:rsidDel="00000000" w:rsidR="00000000" w:rsidRPr="00000000">
              <w:rPr>
                <w:rtl w:val="1"/>
              </w:rPr>
              <w:t xml:space="preserve">الوجيز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متولي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عبدالمؤمن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المرسي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الاجادة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أستاذ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والذي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يحتوي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كافة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2"/>
                <w:szCs w:val="22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213">
      <w:pPr>
        <w:pStyle w:val="Heading2"/>
        <w:bidi w:val="1"/>
        <w:rPr>
          <w:sz w:val="14"/>
          <w:szCs w:val="14"/>
        </w:rPr>
      </w:pPr>
      <w:bookmarkStart w:colFirst="0" w:colLast="0" w:name="_heading=h.1ksv4uv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Style w:val="Heading2"/>
        <w:bidi w:val="1"/>
        <w:rPr/>
      </w:pPr>
      <w:bookmarkStart w:colFirst="0" w:colLast="0" w:name="_heading=h.44sinio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1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pStyle w:val="Heading1"/>
        <w:rPr/>
      </w:pPr>
      <w:bookmarkStart w:colFirst="0" w:colLast="0" w:name="_heading=h.2jxsxq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center"/>
              <w:rPr/>
            </w:pPr>
            <w:bookmarkStart w:colFirst="0" w:colLast="0" w:name="_heading=h.z337ya" w:id="16"/>
            <w:bookmarkEnd w:id="16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both"/>
              <w:rPr/>
            </w:pPr>
            <w:bookmarkStart w:colFirst="0" w:colLast="0" w:name="_heading=h.3j2qqm3" w:id="17"/>
            <w:bookmarkEnd w:id="17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bidi w:val="1"/>
        <w:rPr>
          <w:color w:val="c00000"/>
          <w:sz w:val="20"/>
          <w:szCs w:val="20"/>
        </w:rPr>
      </w:pPr>
      <w:bookmarkStart w:colFirst="0" w:colLast="0" w:name="_heading=h.1y810tw" w:id="18"/>
      <w:bookmarkEnd w:id="18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bidi w:val="1"/>
        <w:rPr>
          <w:color w:val="c00000"/>
          <w:sz w:val="20"/>
          <w:szCs w:val="20"/>
        </w:rPr>
      </w:pPr>
      <w:bookmarkStart w:colFirst="0" w:colLast="0" w:name="_heading=h.4i7ojhp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Style w:val="Heading1"/>
        <w:rPr/>
      </w:pPr>
      <w:bookmarkStart w:colFirst="0" w:colLast="0" w:name="_heading=h.2xcytpi" w:id="20"/>
      <w:bookmarkEnd w:id="20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45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46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4B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implified Arab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7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20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bullet"/>
      <w:lvlText w:val="●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MjqUBoyuzbDxKaEXf4+MKAEsA==">AMUW2mVmEuqdSTOA+1RKu02GJ8wEobg0G38Y5+mvNu+lD4jmZinLXDSySW/cimpbH8MnTWYYNrkCIjE2tv3ZsDkZJK1ZxA7m3yzU4RcTvgFBtsum/6QKeTdhWFts/Z+ByZrDlT4E0VZT5pb/jjamQiwUTS69b/jk1y69gYjTJCaGAY92v1wRlSO1cm/bjN8m9CDVHaNOP/HMLB2CJH3P2/byFjV8j6Gso57R5L2EcYgJ3S6usyz2u1L/CpbQST7ApEQYdDHNg0vMPHHS7eB3rCvsQFV5cYEtqi3tspx0KiwaVsfEIEG61PDX/qZmp9djoggLeBvwKzXN06B3lhN8Tpy6IeKO7DuM9ISnPTkjUmgN++E5IKSsP4Hga9pEDlwYZxFEcJ3J9MNQir33eKPI7EnKsPxKZWEO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2021-11-02T05:05:00Z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