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color w:val="00b05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bidi w:val="1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bidi w:val="1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jc w:val="center"/>
        <w:rPr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2549"/>
        <w:gridCol w:w="6776"/>
        <w:tblGridChange w:id="0">
          <w:tblGrid>
            <w:gridCol w:w="2549"/>
            <w:gridCol w:w="6776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المواريث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والوصايا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والوقف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9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A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LAW374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D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1E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القانون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1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: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022">
            <w:pPr>
              <w:bidi w:val="1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الأمير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30"/>
                <w:szCs w:val="30"/>
                <w:rtl w:val="1"/>
              </w:rPr>
              <w:t xml:space="preserve">سلطان</w:t>
            </w:r>
          </w:p>
        </w:tc>
      </w:tr>
    </w:tbl>
    <w:p w:rsidR="00000000" w:rsidDel="00000000" w:rsidP="00000000" w:rsidRDefault="00000000" w:rsidRPr="00000000" w14:paraId="00000023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>
          <w:b w:val="1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b w:val="1"/>
          <w:color w:val="c00000"/>
          <w:sz w:val="32"/>
          <w:szCs w:val="32"/>
          <w:rtl w:val="1"/>
        </w:rPr>
        <w:t xml:space="preserve">المحتويات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أ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التعريف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بالمقرر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الدراسي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gjdgxs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ب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-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هدف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المقرر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ومخرجاته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التعليمية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3znysh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2et92p0">
        <w:r w:rsidDel="00000000" w:rsidR="00000000" w:rsidRPr="00000000">
          <w:rPr>
            <w:rtl w:val="0"/>
          </w:rPr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1. 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الوصف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العام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tyjcwt">
        <w:r w:rsidDel="00000000" w:rsidR="00000000" w:rsidRPr="00000000">
          <w:rPr>
            <w:rtl w:val="0"/>
          </w:rPr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2. 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الهدف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الرئيس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3dy6vkm">
        <w:r w:rsidDel="00000000" w:rsidR="00000000" w:rsidRPr="00000000">
          <w:rPr>
            <w:rtl w:val="0"/>
          </w:rPr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3. 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مخرجات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3dy6vkm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ج</w:t>
        </w:r>
      </w:hyperlink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موضوعات</w:t>
        </w:r>
      </w:hyperlink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المقرر</w:t>
        </w:r>
      </w:hyperlink>
      <w:hyperlink w:anchor="_heading=h.1t3h5sf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د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التدريس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والتقييم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4d34og8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2s8eyo1">
        <w:r w:rsidDel="00000000" w:rsidR="00000000" w:rsidRPr="00000000">
          <w:rPr>
            <w:rtl w:val="0"/>
          </w:rPr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1. 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ربط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مخرجات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للمقرر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مع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كل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من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استراتيجيات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التدريس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وطرق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التقييم</w:t>
        </w:r>
      </w:hyperlink>
      <w:hyperlink w:anchor="_heading=h.2s8eyo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17dp8vu">
        <w:r w:rsidDel="00000000" w:rsidR="00000000" w:rsidRPr="00000000">
          <w:rPr>
            <w:rtl w:val="0"/>
          </w:rPr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2. 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أنشطة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تقييم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الطلبة</w:t>
        </w:r>
      </w:hyperlink>
      <w:hyperlink w:anchor="_heading=h.17dp8vu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هـ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-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أنشطة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الإرشاد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الأكاديمي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والدعم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الطلابي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3rdcrjn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– 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مصادر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والمرافق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26in1rg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lnxbz9">
        <w:r w:rsidDel="00000000" w:rsidR="00000000" w:rsidRPr="00000000">
          <w:rPr>
            <w:rtl w:val="0"/>
          </w:rPr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1. 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قائمة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مصادر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التعلم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lnxbz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45"/>
        </w:tabs>
        <w:bidi w:val="1"/>
        <w:spacing w:after="100" w:before="0" w:line="240" w:lineRule="auto"/>
        <w:ind w:left="2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1ksv4uv">
        <w:r w:rsidDel="00000000" w:rsidR="00000000" w:rsidRPr="00000000">
          <w:rPr>
            <w:rtl w:val="0"/>
          </w:rPr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2. 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المرافق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والتجهيزات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المطلوبة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1ksv4uv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ز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تقويم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جودة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المقرر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:</w:t>
        </w:r>
      </w:hyperlink>
      <w:hyperlink w:anchor="_heading=h.44sinio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630"/>
        </w:tabs>
        <w:bidi w:val="1"/>
        <w:spacing w:after="1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ح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. 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اعتماد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 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1"/>
          </w:rPr>
          <w:t xml:space="preserve">التوصيف</w:t>
        </w:r>
      </w:hyperlink>
      <w:hyperlink w:anchor="_heading=h.4i7ojhp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ab/>
          <w:t xml:space="preserve">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bidi w:val="1"/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التعريف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الدراسي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2"/>
        <w:bidiVisual w:val="1"/>
        <w:tblW w:w="9325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423"/>
        <w:gridCol w:w="656"/>
        <w:gridCol w:w="816"/>
        <w:gridCol w:w="48"/>
        <w:gridCol w:w="174"/>
        <w:gridCol w:w="122"/>
        <w:gridCol w:w="455"/>
        <w:gridCol w:w="450"/>
        <w:gridCol w:w="455"/>
        <w:gridCol w:w="639"/>
        <w:gridCol w:w="231"/>
        <w:gridCol w:w="164"/>
        <w:gridCol w:w="392"/>
        <w:gridCol w:w="455"/>
        <w:gridCol w:w="1902"/>
        <w:gridCol w:w="231"/>
        <w:gridCol w:w="1712"/>
        <w:tblGridChange w:id="0">
          <w:tblGrid>
            <w:gridCol w:w="423"/>
            <w:gridCol w:w="656"/>
            <w:gridCol w:w="816"/>
            <w:gridCol w:w="48"/>
            <w:gridCol w:w="174"/>
            <w:gridCol w:w="122"/>
            <w:gridCol w:w="455"/>
            <w:gridCol w:w="450"/>
            <w:gridCol w:w="455"/>
            <w:gridCol w:w="639"/>
            <w:gridCol w:w="231"/>
            <w:gridCol w:w="164"/>
            <w:gridCol w:w="392"/>
            <w:gridCol w:w="455"/>
            <w:gridCol w:w="1902"/>
            <w:gridCol w:w="231"/>
            <w:gridCol w:w="1712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bidi w:val="1"/>
              <w:rPr>
                <w:b w:val="1"/>
                <w:sz w:val="26"/>
                <w:szCs w:val="26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1.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المعتمدة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:</w:t>
            </w:r>
          </w:p>
        </w:tc>
        <w:tc>
          <w:tcPr>
            <w:gridSpan w:val="13"/>
            <w:tcBorders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2.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نوع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جامعة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كلية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نعم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متطلب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قسم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نعم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bidi w:val="1"/>
              <w:jc w:val="right"/>
              <w:rPr>
                <w:b w:val="1"/>
                <w:highlight w:val="yellow"/>
              </w:rPr>
            </w:pPr>
            <w:r w:rsidDel="00000000" w:rsidR="00000000" w:rsidRPr="00000000">
              <w:rPr>
                <w:sz w:val="18"/>
                <w:szCs w:val="18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bidi w:val="1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rtl w:val="1"/>
              </w:rPr>
              <w:t xml:space="preserve">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إجباري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نعم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right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اختياري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12"/>
            <w:tcBorders>
              <w:top w:color="000000" w:space="0" w:sz="8" w:val="single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3.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يقدم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فيه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المستوى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الثالث</w:t>
            </w:r>
            <w:r w:rsidDel="00000000" w:rsidR="00000000" w:rsidRPr="00000000">
              <w:rPr>
                <w:b w:val="1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0" w:val="nil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1" w:hRule="atLeast"/>
          <w:tblHeader w:val="0"/>
        </w:trPr>
        <w:tc>
          <w:tcPr>
            <w:gridSpan w:val="17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السابقة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أصول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الفقه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LAW</w:t>
            </w:r>
            <w:r w:rsidDel="00000000" w:rsidR="00000000" w:rsidRPr="00000000">
              <w:rPr>
                <w:b w:val="1"/>
                <w:rtl w:val="1"/>
              </w:rPr>
              <w:t xml:space="preserve">172</w:t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8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5.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المتطلبات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المتزامنة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مع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إن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وجدت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7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B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يوجد</w:t>
            </w:r>
          </w:p>
        </w:tc>
      </w:tr>
    </w:tbl>
    <w:p w:rsidR="00000000" w:rsidDel="00000000" w:rsidP="00000000" w:rsidRDefault="00000000" w:rsidRPr="00000000" w14:paraId="000000C4">
      <w:pPr>
        <w:bidi w:val="1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نمط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اختر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ينطبق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9"/>
        <w:gridCol w:w="4014"/>
        <w:gridCol w:w="2404"/>
        <w:gridCol w:w="2404"/>
        <w:tblGridChange w:id="0">
          <w:tblGrid>
            <w:gridCol w:w="749"/>
            <w:gridCol w:w="4014"/>
            <w:gridCol w:w="2404"/>
            <w:gridCol w:w="2404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7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نمط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الدراسة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C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المحاضرات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التقليدية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C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CF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المدمج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3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D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bidi w:val="1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b w:val="1"/>
          <w:sz w:val="26"/>
          <w:szCs w:val="26"/>
          <w:rtl w:val="1"/>
        </w:rPr>
        <w:t xml:space="preserve">ساعات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b w:val="1"/>
          <w:sz w:val="26"/>
          <w:szCs w:val="26"/>
          <w:rtl w:val="1"/>
        </w:rPr>
        <w:t xml:space="preserve">الاتصال</w:t>
      </w:r>
      <w:r w:rsidDel="00000000" w:rsidR="00000000" w:rsidRPr="00000000">
        <w:rPr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مستوى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الفصل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الدراسي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71.0" w:type="dxa"/>
        <w:jc w:val="left"/>
        <w:tblInd w:w="1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823"/>
        <w:gridCol w:w="6378"/>
        <w:gridCol w:w="2370"/>
        <w:tblGridChange w:id="0">
          <w:tblGrid>
            <w:gridCol w:w="823"/>
            <w:gridCol w:w="6378"/>
            <w:gridCol w:w="2370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1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النشاط</w:t>
            </w:r>
          </w:p>
        </w:tc>
        <w:tc>
          <w:tcPr>
            <w:tcBorders>
              <w:top w:color="000000" w:space="0" w:sz="12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محاضرات</w:t>
            </w:r>
          </w:p>
        </w:tc>
        <w:tc>
          <w:tcPr>
            <w:tcBorders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معمل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إستوديو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إضافية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0E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تذكر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0E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E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الإجمالي</w:t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  <w:right w:color="000000" w:space="0" w:sz="12" w:val="single"/>
            </w:tcBorders>
            <w:shd w:fill="dbe5f1" w:val="clear"/>
          </w:tcPr>
          <w:p w:rsidR="00000000" w:rsidDel="00000000" w:rsidP="00000000" w:rsidRDefault="00000000" w:rsidRPr="00000000" w14:paraId="000000F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0F2">
      <w:pPr>
        <w:bidi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Style w:val="Heading1"/>
        <w:bidi w:val="1"/>
        <w:rPr/>
      </w:pPr>
      <w:bookmarkStart w:colFirst="0" w:colLast="0" w:name="_heading=h.3znysh7" w:id="3"/>
      <w:bookmarkEnd w:id="3"/>
      <w:r w:rsidDel="00000000" w:rsidR="00000000" w:rsidRPr="00000000">
        <w:rPr>
          <w:rtl w:val="1"/>
        </w:rPr>
        <w:t xml:space="preserve">ب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هدف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ومخرجاته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التعليمية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5"/>
        <w:bidiVisual w:val="1"/>
        <w:tblW w:w="9571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4">
            <w:pPr>
              <w:pStyle w:val="Heading2"/>
              <w:bidi w:val="1"/>
              <w:rPr/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 </w:t>
            </w:r>
            <w:r w:rsidDel="00000000" w:rsidR="00000000" w:rsidRPr="00000000">
              <w:rPr>
                <w:rtl w:val="1"/>
              </w:rPr>
              <w:t xml:space="preserve">الوصف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F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يغطي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الإرث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أصحاب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الفروض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والعصبات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إرثهم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توزعه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عليهم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كما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يغطي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وتطبيق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ذلك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بإيراد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اللوائح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المعمول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pStyle w:val="Heading2"/>
              <w:bidi w:val="1"/>
              <w:rPr/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2. </w:t>
            </w:r>
            <w:r w:rsidDel="00000000" w:rsidR="00000000" w:rsidRPr="00000000">
              <w:rPr>
                <w:rtl w:val="1"/>
              </w:rPr>
              <w:t xml:space="preserve">الهدف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الرئيس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للمقرر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7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يهدف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هذا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المقرر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بيان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الإرث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وكيفية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توزيعها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المستحقين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وإيضاح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وتعزيزها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بتطبيقات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اللوائح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المعمول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F8">
      <w:pPr>
        <w:pStyle w:val="Heading2"/>
        <w:bidi w:val="1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3.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6"/>
        <w:bidiVisual w:val="1"/>
        <w:tblW w:w="9571.0" w:type="dxa"/>
        <w:jc w:val="left"/>
        <w:tblInd w:w="-16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8" w:val="single"/>
          <w:insideV w:color="ffffff" w:space="0" w:sz="4" w:val="single"/>
        </w:tblBorders>
        <w:tblLayout w:type="fixed"/>
        <w:tblLook w:val="0400"/>
      </w:tblPr>
      <w:tblGrid>
        <w:gridCol w:w="603"/>
        <w:gridCol w:w="7341"/>
        <w:gridCol w:w="1627"/>
        <w:tblGridChange w:id="0">
          <w:tblGrid>
            <w:gridCol w:w="603"/>
            <w:gridCol w:w="7341"/>
            <w:gridCol w:w="1627"/>
          </w:tblGrid>
        </w:tblGridChange>
      </w:tblGrid>
      <w:tr>
        <w:trPr>
          <w:cantSplit w:val="0"/>
          <w:tblHeader w:val="1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0FB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F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مخرج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المرتبط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للبرنامج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0F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0FE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0F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والمفاهيم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2">
            <w:pPr>
              <w:bidi w:val="1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0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0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</w:tcPr>
          <w:p w:rsidR="00000000" w:rsidDel="00000000" w:rsidP="00000000" w:rsidRDefault="00000000" w:rsidRPr="00000000" w14:paraId="00000105">
            <w:pPr>
              <w:bidi w:val="1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06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07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0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يطبق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والتوصل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الاستنتاجات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المناسبة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B">
            <w:pPr>
              <w:bidi w:val="1"/>
              <w:rPr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0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النقدي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وتطبيقها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الحالات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الافتراضية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والبحوث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E">
            <w:pPr>
              <w:bidi w:val="1"/>
              <w:rPr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0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التكنولوجيا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والمكتوب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ينمي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توزيع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والأبحاث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بذلك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bidi w:val="1"/>
              <w:rPr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dbe5f1" w:val="clear"/>
          </w:tcPr>
          <w:p w:rsidR="00000000" w:rsidDel="00000000" w:rsidP="00000000" w:rsidRDefault="00000000" w:rsidRPr="00000000" w14:paraId="0000011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0" w:val="nil"/>
            </w:tcBorders>
            <w:shd w:fill="dbe5f1" w:val="clear"/>
          </w:tcPr>
          <w:p w:rsidR="00000000" w:rsidDel="00000000" w:rsidP="00000000" w:rsidRDefault="00000000" w:rsidRPr="00000000" w14:paraId="00000113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dashed"/>
              <w:right w:color="000000" w:space="0" w:sz="12" w:val="single"/>
            </w:tcBorders>
            <w:shd w:fill="ebf1dd" w:val="clear"/>
          </w:tcPr>
          <w:p w:rsidR="00000000" w:rsidDel="00000000" w:rsidP="00000000" w:rsidRDefault="00000000" w:rsidRPr="00000000" w14:paraId="0000011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1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يحترم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المعايير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الأخلاقية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بمهنة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المحاماة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وتجسيد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لديه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7">
            <w:pPr>
              <w:bidi w:val="1"/>
              <w:rPr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bidi w:val="1"/>
        <w:jc w:val="both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Style w:val="Heading1"/>
        <w:bidi w:val="1"/>
        <w:rPr/>
      </w:pPr>
      <w:bookmarkStart w:colFirst="0" w:colLast="0" w:name="_heading=h.1t3h5sf" w:id="7"/>
      <w:bookmarkEnd w:id="7"/>
      <w:r w:rsidDel="00000000" w:rsidR="00000000" w:rsidRPr="00000000">
        <w:rPr>
          <w:rtl w:val="1"/>
        </w:rPr>
        <w:t xml:space="preserve">ج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موضوعات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71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"/>
        <w:gridCol w:w="7655"/>
        <w:gridCol w:w="1378"/>
        <w:tblGridChange w:id="0">
          <w:tblGrid>
            <w:gridCol w:w="538"/>
            <w:gridCol w:w="7655"/>
            <w:gridCol w:w="1378"/>
          </w:tblGrid>
        </w:tblGridChange>
      </w:tblGrid>
      <w:tr>
        <w:trPr>
          <w:cantSplit w:val="0"/>
          <w:trHeight w:val="46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1A">
            <w:pPr>
              <w:bidi w:val="1"/>
              <w:jc w:val="center"/>
              <w:rPr>
                <w:b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1B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قائمة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الموضوعات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ساعات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الاتصال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  <w:r w:rsidDel="00000000" w:rsidR="00000000" w:rsidRPr="00000000">
              <w:rPr>
                <w:rtl w:val="1"/>
              </w:rPr>
              <w:t xml:space="preserve">:         </w:t>
            </w:r>
            <w:r w:rsidDel="00000000" w:rsidR="00000000" w:rsidRPr="00000000">
              <w:rPr>
                <w:rtl w:val="1"/>
              </w:rPr>
              <w:t xml:space="preserve">مقدمة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أهمية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وخصائص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الإسلام</w:t>
            </w:r>
          </w:p>
          <w:p w:rsidR="00000000" w:rsidDel="00000000" w:rsidP="00000000" w:rsidRDefault="00000000" w:rsidRPr="00000000" w14:paraId="0000011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:         </w:t>
            </w:r>
            <w:r w:rsidDel="00000000" w:rsidR="00000000" w:rsidRPr="00000000">
              <w:rPr>
                <w:rtl w:val="1"/>
              </w:rPr>
              <w:t xml:space="preserve">التركة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الإرث</w:t>
            </w:r>
            <w:r w:rsidDel="00000000" w:rsidR="00000000" w:rsidRPr="00000000">
              <w:rPr>
                <w:rtl w:val="1"/>
              </w:rPr>
              <w:t xml:space="preserve"> ...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:    </w:t>
            </w:r>
            <w:r w:rsidDel="00000000" w:rsidR="00000000" w:rsidRPr="00000000">
              <w:rPr>
                <w:rtl w:val="1"/>
              </w:rPr>
              <w:t xml:space="preserve">أسباب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الإرث</w:t>
            </w:r>
            <w:r w:rsidDel="00000000" w:rsidR="00000000" w:rsidRPr="00000000">
              <w:rPr>
                <w:rtl w:val="1"/>
              </w:rPr>
              <w:t xml:space="preserve"> + </w:t>
            </w: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الإرث</w:t>
            </w:r>
            <w:r w:rsidDel="00000000" w:rsidR="00000000" w:rsidRPr="00000000">
              <w:rPr>
                <w:rtl w:val="1"/>
              </w:rPr>
              <w:t xml:space="preserve">  + </w:t>
            </w:r>
            <w:r w:rsidDel="00000000" w:rsidR="00000000" w:rsidRPr="00000000">
              <w:rPr>
                <w:rtl w:val="1"/>
              </w:rPr>
              <w:t xml:space="preserve">موانع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الإرث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  <w:r w:rsidDel="00000000" w:rsidR="00000000" w:rsidRPr="00000000">
              <w:rPr>
                <w:rtl w:val="1"/>
              </w:rPr>
              <w:t xml:space="preserve">:     </w:t>
            </w:r>
            <w:r w:rsidDel="00000000" w:rsidR="00000000" w:rsidRPr="00000000">
              <w:rPr>
                <w:rtl w:val="1"/>
              </w:rPr>
              <w:t xml:space="preserve">الوارثون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الرجال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النساء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الثالث</w:t>
            </w:r>
            <w:r w:rsidDel="00000000" w:rsidR="00000000" w:rsidRPr="00000000">
              <w:rPr>
                <w:rtl w:val="1"/>
              </w:rPr>
              <w:t xml:space="preserve">      :   </w:t>
            </w:r>
            <w:r w:rsidDel="00000000" w:rsidR="00000000" w:rsidRPr="00000000">
              <w:rPr>
                <w:rtl w:val="1"/>
              </w:rPr>
              <w:t xml:space="preserve">أنواع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الإرث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الإرث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بالفرض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والإرث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بالتعصيب</w:t>
            </w:r>
            <w:r w:rsidDel="00000000" w:rsidR="00000000" w:rsidRPr="00000000">
              <w:rPr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2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                    </w:t>
            </w:r>
            <w:r w:rsidDel="00000000" w:rsidR="00000000" w:rsidRPr="00000000">
              <w:rPr>
                <w:rtl w:val="1"/>
              </w:rPr>
              <w:t xml:space="preserve">الوارثون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للربع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وللثمن</w:t>
            </w:r>
            <w:r w:rsidDel="00000000" w:rsidR="00000000" w:rsidRPr="00000000">
              <w:rPr>
                <w:rtl w:val="1"/>
              </w:rPr>
              <w:t xml:space="preserve">،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الثالث</w:t>
            </w:r>
            <w:r w:rsidDel="00000000" w:rsidR="00000000" w:rsidRPr="00000000">
              <w:rPr>
                <w:rtl w:val="1"/>
              </w:rPr>
              <w:t xml:space="preserve">:    </w:t>
            </w:r>
            <w:r w:rsidDel="00000000" w:rsidR="00000000" w:rsidRPr="00000000">
              <w:rPr>
                <w:rtl w:val="1"/>
              </w:rPr>
              <w:t xml:space="preserve">الوارثون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للنصف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وللثلثين</w:t>
            </w:r>
          </w:p>
        </w:tc>
        <w:tc>
          <w:tcPr>
            <w:tcBorders>
              <w:left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bidi w:val="1"/>
              <w:jc w:val="both"/>
              <w:rPr>
                <w:b w:val="1"/>
              </w:rPr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الرابع</w:t>
            </w:r>
            <w:r w:rsidDel="00000000" w:rsidR="00000000" w:rsidRPr="00000000">
              <w:rPr>
                <w:rtl w:val="1"/>
              </w:rPr>
              <w:t xml:space="preserve">      :    </w:t>
            </w:r>
            <w:r w:rsidDel="00000000" w:rsidR="00000000" w:rsidRPr="00000000">
              <w:rPr>
                <w:rtl w:val="1"/>
              </w:rPr>
              <w:t xml:space="preserve">الوارثون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للثلث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والوارثون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للسدس</w:t>
            </w:r>
            <w:r w:rsidDel="00000000" w:rsidR="00000000" w:rsidRPr="00000000">
              <w:rPr>
                <w:rtl w:val="1"/>
              </w:rPr>
              <w:t xml:space="preserve">  + </w:t>
            </w:r>
            <w:r w:rsidDel="00000000" w:rsidR="00000000" w:rsidRPr="00000000">
              <w:rPr>
                <w:rtl w:val="1"/>
              </w:rPr>
              <w:t xml:space="preserve">مراجعة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السابقة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الأول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الخامس</w:t>
            </w:r>
            <w:r w:rsidDel="00000000" w:rsidR="00000000" w:rsidRPr="00000000">
              <w:rPr>
                <w:rtl w:val="1"/>
              </w:rPr>
              <w:t xml:space="preserve">    :    </w:t>
            </w:r>
            <w:r w:rsidDel="00000000" w:rsidR="00000000" w:rsidRPr="00000000">
              <w:rPr>
                <w:rtl w:val="1"/>
              </w:rPr>
              <w:t xml:space="preserve">التعصيب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السادس</w:t>
            </w:r>
            <w:r w:rsidDel="00000000" w:rsidR="00000000" w:rsidRPr="00000000">
              <w:rPr>
                <w:rtl w:val="1"/>
              </w:rPr>
              <w:t xml:space="preserve">    :    </w:t>
            </w:r>
            <w:r w:rsidDel="00000000" w:rsidR="00000000" w:rsidRPr="00000000">
              <w:rPr>
                <w:rtl w:val="1"/>
              </w:rPr>
              <w:t xml:space="preserve">الحجب</w:t>
            </w:r>
            <w:r w:rsidDel="00000000" w:rsidR="00000000" w:rsidRPr="00000000">
              <w:rPr>
                <w:rtl w:val="1"/>
              </w:rPr>
              <w:t xml:space="preserve">+ </w:t>
            </w:r>
            <w:r w:rsidDel="00000000" w:rsidR="00000000" w:rsidRPr="00000000">
              <w:rPr>
                <w:rtl w:val="1"/>
              </w:rPr>
              <w:t xml:space="preserve">مراجعة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السابقة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السابع</w:t>
            </w:r>
            <w:r w:rsidDel="00000000" w:rsidR="00000000" w:rsidRPr="00000000">
              <w:rPr>
                <w:rtl w:val="1"/>
              </w:rPr>
              <w:t xml:space="preserve">      :    </w:t>
            </w:r>
            <w:r w:rsidDel="00000000" w:rsidR="00000000" w:rsidRPr="00000000">
              <w:rPr>
                <w:rtl w:val="1"/>
              </w:rPr>
              <w:t xml:space="preserve">تأصيل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المسائل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الثامن</w:t>
            </w:r>
            <w:r w:rsidDel="00000000" w:rsidR="00000000" w:rsidRPr="00000000">
              <w:rPr>
                <w:rtl w:val="1"/>
              </w:rPr>
              <w:t xml:space="preserve">      :    </w:t>
            </w:r>
            <w:r w:rsidDel="00000000" w:rsidR="00000000" w:rsidRPr="00000000">
              <w:rPr>
                <w:rtl w:val="1"/>
              </w:rPr>
              <w:t xml:space="preserve">العول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و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الرد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التاسع</w:t>
            </w:r>
            <w:r w:rsidDel="00000000" w:rsidR="00000000" w:rsidRPr="00000000">
              <w:rPr>
                <w:rtl w:val="1"/>
              </w:rPr>
              <w:t xml:space="preserve">      :    </w:t>
            </w:r>
            <w:r w:rsidDel="00000000" w:rsidR="00000000" w:rsidRPr="00000000">
              <w:rPr>
                <w:rtl w:val="1"/>
              </w:rPr>
              <w:t xml:space="preserve">تكملة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الرد</w:t>
            </w:r>
            <w:r w:rsidDel="00000000" w:rsidR="00000000" w:rsidRPr="00000000">
              <w:rPr>
                <w:rtl w:val="1"/>
              </w:rPr>
              <w:t xml:space="preserve"> + </w:t>
            </w:r>
            <w:r w:rsidDel="00000000" w:rsidR="00000000" w:rsidRPr="00000000">
              <w:rPr>
                <w:rtl w:val="1"/>
              </w:rPr>
              <w:t xml:space="preserve">مراجعة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الدروس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السابقة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العاشر</w:t>
            </w:r>
            <w:r w:rsidDel="00000000" w:rsidR="00000000" w:rsidRPr="00000000">
              <w:rPr>
                <w:rtl w:val="1"/>
              </w:rPr>
              <w:t xml:space="preserve">     :    </w:t>
            </w:r>
            <w:r w:rsidDel="00000000" w:rsidR="00000000" w:rsidRPr="00000000">
              <w:rPr>
                <w:rtl w:val="1"/>
              </w:rPr>
              <w:t xml:space="preserve">الوصية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معناها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وحكمها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والحكمة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تشريعها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الحادي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:  </w:t>
            </w:r>
            <w:r w:rsidDel="00000000" w:rsidR="00000000" w:rsidRPr="00000000">
              <w:rPr>
                <w:rtl w:val="1"/>
              </w:rPr>
              <w:t xml:space="preserve">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وشروطها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 </w:t>
            </w:r>
            <w:r w:rsidDel="00000000" w:rsidR="00000000" w:rsidRPr="00000000">
              <w:rPr>
                <w:rtl w:val="1"/>
              </w:rPr>
              <w:t xml:space="preserve">تابع</w:t>
            </w:r>
            <w:r w:rsidDel="00000000" w:rsidR="00000000" w:rsidRPr="00000000">
              <w:rPr>
                <w:rtl w:val="1"/>
              </w:rPr>
              <w:t xml:space="preserve">            :   </w:t>
            </w:r>
            <w:r w:rsidDel="00000000" w:rsidR="00000000" w:rsidRPr="00000000">
              <w:rPr>
                <w:rtl w:val="1"/>
              </w:rPr>
              <w:t xml:space="preserve">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أركان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الوصية</w:t>
            </w:r>
          </w:p>
          <w:p w:rsidR="00000000" w:rsidDel="00000000" w:rsidP="00000000" w:rsidRDefault="00000000" w:rsidRPr="00000000" w14:paraId="0000014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اختبار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الثالث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:   </w:t>
            </w:r>
            <w:r w:rsidDel="00000000" w:rsidR="00000000" w:rsidRPr="00000000">
              <w:rPr>
                <w:rtl w:val="1"/>
              </w:rPr>
              <w:t xml:space="preserve">الوقف</w:t>
            </w:r>
            <w:r w:rsidDel="00000000" w:rsidR="00000000" w:rsidRPr="00000000">
              <w:rPr>
                <w:rtl w:val="1"/>
              </w:rPr>
              <w:t xml:space="preserve">: </w:t>
            </w:r>
            <w:r w:rsidDel="00000000" w:rsidR="00000000" w:rsidRPr="00000000">
              <w:rPr>
                <w:rtl w:val="1"/>
              </w:rPr>
              <w:t xml:space="preserve">معناه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وأنوعه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أهميته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وشروط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صحته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الرابع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:  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بالنظارة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الوقف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     </w:t>
            </w:r>
            <w:r w:rsidDel="00000000" w:rsidR="00000000" w:rsidRPr="00000000">
              <w:rPr>
                <w:rtl w:val="1"/>
              </w:rPr>
              <w:t xml:space="preserve">تابع</w:t>
            </w:r>
            <w:r w:rsidDel="00000000" w:rsidR="00000000" w:rsidRPr="00000000">
              <w:rPr>
                <w:rtl w:val="1"/>
              </w:rPr>
              <w:t xml:space="preserve">       :  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بالنظارة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الوقف</w:t>
            </w:r>
          </w:p>
          <w:p w:rsidR="00000000" w:rsidDel="00000000" w:rsidP="00000000" w:rsidRDefault="00000000" w:rsidRPr="00000000" w14:paraId="00000153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الدرس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الخامس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عشر</w:t>
            </w:r>
            <w:r w:rsidDel="00000000" w:rsidR="00000000" w:rsidRPr="00000000">
              <w:rPr>
                <w:rtl w:val="1"/>
              </w:rPr>
              <w:t xml:space="preserve">:  </w:t>
            </w:r>
            <w:r w:rsidDel="00000000" w:rsidR="00000000" w:rsidRPr="00000000">
              <w:rPr>
                <w:rtl w:val="1"/>
              </w:rPr>
              <w:t xml:space="preserve">التطبيقات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الوقف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5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12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</w:tbl>
    <w:p w:rsidR="00000000" w:rsidDel="00000000" w:rsidP="00000000" w:rsidRDefault="00000000" w:rsidRPr="00000000" w14:paraId="00000158">
      <w:pPr>
        <w:bidi w:val="1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Style w:val="Heading1"/>
        <w:bidi w:val="1"/>
        <w:rPr/>
      </w:pPr>
      <w:bookmarkStart w:colFirst="0" w:colLast="0" w:name="_heading=h.4d34og8" w:id="8"/>
      <w:bookmarkEnd w:id="8"/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والتقييم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15A">
      <w:pPr>
        <w:pStyle w:val="Heading2"/>
        <w:bidi w:val="1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 </w:t>
      </w:r>
      <w:r w:rsidDel="00000000" w:rsidR="00000000" w:rsidRPr="00000000">
        <w:rPr>
          <w:rtl w:val="1"/>
        </w:rPr>
        <w:t xml:space="preserve">ربط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مخرجات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للمقرر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استراتيجيات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التقييم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8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8" w:val="single"/>
        </w:tblBorders>
        <w:tblLayout w:type="fixed"/>
        <w:tblLook w:val="0400"/>
      </w:tblPr>
      <w:tblGrid>
        <w:gridCol w:w="853"/>
        <w:gridCol w:w="3997"/>
        <w:gridCol w:w="2437"/>
        <w:gridCol w:w="2284"/>
        <w:tblGridChange w:id="0">
          <w:tblGrid>
            <w:gridCol w:w="853"/>
            <w:gridCol w:w="3997"/>
            <w:gridCol w:w="2437"/>
            <w:gridCol w:w="2284"/>
          </w:tblGrid>
        </w:tblGridChange>
      </w:tblGrid>
      <w:tr>
        <w:trPr>
          <w:cantSplit w:val="0"/>
          <w:trHeight w:val="401" w:hRule="atLeast"/>
          <w:tblHeader w:val="1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B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الرمز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C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D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استراتيجيات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5E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5F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والفهم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6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يعرف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المبادئ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والمفاهيم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والشهرية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6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النظام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للمملكة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العربية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ومقاطع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اليوتيوب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تتناول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المواريث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والوصايا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والأوقاف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المتخصصة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والشهرية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0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71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المهارات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7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يطبق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والقواعد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ذات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الصلة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والتوصل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الاستنتاجات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المناسبة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المتخصصة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والشهرية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وبالذات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البحثية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؛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للوقوف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دقة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استنتاجات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</w:tcPr>
          <w:p w:rsidR="00000000" w:rsidDel="00000000" w:rsidP="00000000" w:rsidRDefault="00000000" w:rsidRPr="00000000" w14:paraId="0000017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يتمكن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التحليل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النقدي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للقضايا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وتطبيقها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الحالات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الافتراضية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والبحوث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العلمية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العروض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التقديمية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الاختبارات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القصيرة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والشهرية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</w:tcPr>
          <w:p w:rsidR="00000000" w:rsidDel="00000000" w:rsidP="00000000" w:rsidRDefault="00000000" w:rsidRPr="00000000" w14:paraId="0000018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يتمرس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استخدام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التكنولوجيا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الحديثة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للاتصال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الشفوي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والمكتوب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ينمي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مهاراته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توزيع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ومعرفة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مسائل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والأوقاف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والأبحاث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الشرعية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والقانونية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بذلك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مواقع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المتخصصة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موقع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للأوقاف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ومقاطع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اليوتيوب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تتناول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موضوعات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المواريث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والوصايا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والأوقاف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وقت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المحاضرات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تطبيقات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حاسوبية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تطبيق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حاسبة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المواريث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dashed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الأسئلة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الشفهية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الحديثة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الفردية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الواتس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دوكس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قوقل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الإيميل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1">
            <w:pPr>
              <w:bidi w:val="1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3.0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192">
            <w:pPr>
              <w:bidi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96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يحترم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الطالب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المعايير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الأخلاقية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بمهنة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المحاماة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وتجسيد</w:t>
            </w:r>
            <w:r w:rsidDel="00000000" w:rsidR="00000000" w:rsidRPr="00000000">
              <w:rPr>
                <w:rtl w:val="1"/>
              </w:rPr>
              <w:t xml:space="preserve">  </w:t>
            </w:r>
            <w:r w:rsidDel="00000000" w:rsidR="00000000" w:rsidRPr="00000000">
              <w:rPr>
                <w:rtl w:val="1"/>
              </w:rPr>
              <w:t xml:space="preserve">روح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المواطنة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والمسؤولية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لديه</w:t>
            </w:r>
            <w:r w:rsidDel="00000000" w:rsidR="00000000" w:rsidRPr="00000000">
              <w:rPr>
                <w:rtl w:val="1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التحلي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بالقيم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والمسؤوليات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الأخلاقية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والمهنية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المتعلقة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بمهنة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المحاماة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والبحوث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القانونية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الواجبات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تقسيم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مجموعات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وإسناد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واجب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مجموعة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تتشارك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إعداده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وتقديمه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الحوار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والنقاش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الجماعي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العصف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الذهني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مجموعات</w:t>
            </w:r>
          </w:p>
        </w:tc>
      </w:tr>
    </w:tbl>
    <w:p w:rsidR="00000000" w:rsidDel="00000000" w:rsidP="00000000" w:rsidRDefault="00000000" w:rsidRPr="00000000" w14:paraId="0000019D">
      <w:pPr>
        <w:pStyle w:val="Heading2"/>
        <w:bidi w:val="1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تقييم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الطلبة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9"/>
        <w:bidiVisual w:val="1"/>
        <w:tblW w:w="9571.000000000002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"/>
        <w:gridCol w:w="5555"/>
        <w:gridCol w:w="1348"/>
        <w:gridCol w:w="2247"/>
        <w:tblGridChange w:id="0">
          <w:tblGrid>
            <w:gridCol w:w="421"/>
            <w:gridCol w:w="5555"/>
            <w:gridCol w:w="1348"/>
            <w:gridCol w:w="2247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</w:t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9F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أنشطة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توقيت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</w:p>
          <w:p w:rsidR="00000000" w:rsidDel="00000000" w:rsidP="00000000" w:rsidRDefault="00000000" w:rsidRPr="00000000" w14:paraId="000001A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بالأسبوع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A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النسبة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A3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إجمالي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درجة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6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الأسبوع</w:t>
            </w:r>
            <w:r w:rsidDel="00000000" w:rsidR="00000000" w:rsidRPr="00000000">
              <w:rPr>
                <w:rtl w:val="1"/>
              </w:rPr>
              <w:t xml:space="preserve"> 3 - 4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A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الأسبوع</w:t>
            </w:r>
            <w:r w:rsidDel="00000000" w:rsidR="00000000" w:rsidRPr="00000000">
              <w:rPr>
                <w:rtl w:val="1"/>
              </w:rPr>
              <w:t xml:space="preserve"> 6 - 7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القصير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AE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الأسبوع</w:t>
            </w:r>
            <w:r w:rsidDel="00000000" w:rsidR="00000000" w:rsidRPr="00000000">
              <w:rPr>
                <w:rtl w:val="0"/>
              </w:rPr>
              <w:t xml:space="preserve"> 8 -10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A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الشهر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2">
            <w:pPr>
              <w:bidi w:val="1"/>
              <w:jc w:val="both"/>
              <w:rPr/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12-14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إعداد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الواجب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6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الأسبوع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7 -12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عرض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الواجب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ومناقشته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bidi w:val="1"/>
              <w:jc w:val="both"/>
              <w:rPr/>
            </w:pPr>
            <w:r w:rsidDel="00000000" w:rsidR="00000000" w:rsidRPr="00000000">
              <w:rPr>
                <w:sz w:val="22"/>
                <w:szCs w:val="22"/>
                <w:rtl w:val="1"/>
              </w:rPr>
              <w:t xml:space="preserve">الأسبوع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10-12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الاختبار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النهائي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</w:tcPr>
          <w:p w:rsidR="00000000" w:rsidDel="00000000" w:rsidP="00000000" w:rsidRDefault="00000000" w:rsidRPr="00000000" w14:paraId="000001BE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</w:tcBorders>
          </w:tcPr>
          <w:p w:rsidR="00000000" w:rsidDel="00000000" w:rsidP="00000000" w:rsidRDefault="00000000" w:rsidRPr="00000000" w14:paraId="000001B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1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المجموع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2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C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bidi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1"/>
        </w:rPr>
        <w:t xml:space="preserve">أنشطة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التقييم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اختبار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تحريري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شفهي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عرض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تقديمي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مشروع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جماعي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ورقة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عمل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الخ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1C5">
      <w:pPr>
        <w:pStyle w:val="Heading1"/>
        <w:bidi w:val="1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هـ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الإرشاد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الأكاديمي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والدعم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الطلابي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0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9571"/>
        <w:tblGridChange w:id="0">
          <w:tblGrid>
            <w:gridCol w:w="9571"/>
          </w:tblGrid>
        </w:tblGridChange>
      </w:tblGrid>
      <w:tr>
        <w:trPr>
          <w:cantSplit w:val="0"/>
          <w:trHeight w:val="1298" w:hRule="atLeast"/>
          <w:tblHeader w:val="0"/>
        </w:trPr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المكتبية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مختلفة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لتناسب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ظروف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وعددها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: 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ساعات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أسبوعيا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ً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وسائل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الاجتماعي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الإليكتروني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التواتس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آب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مجموعات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مخصصة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لذلك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والتواصل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يكون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فيها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بشكل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يومي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ومستمر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C9">
      <w:pPr>
        <w:bidi w:val="1"/>
        <w:rPr>
          <w:b w:val="1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Style w:val="Heading1"/>
        <w:bidi w:val="1"/>
        <w:rPr/>
      </w:pPr>
      <w:bookmarkStart w:colFirst="0" w:colLast="0" w:name="_heading=h.26in1rg" w:id="12"/>
      <w:bookmarkEnd w:id="12"/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والمرافق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1CB">
      <w:pPr>
        <w:pStyle w:val="Heading2"/>
        <w:bidi w:val="1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قائمة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التعلم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1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400"/>
      </w:tblPr>
      <w:tblGrid>
        <w:gridCol w:w="2603"/>
        <w:gridCol w:w="6968"/>
        <w:tblGridChange w:id="0">
          <w:tblGrid>
            <w:gridCol w:w="2603"/>
            <w:gridCol w:w="6968"/>
          </w:tblGrid>
        </w:tblGridChange>
      </w:tblGrid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C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الرئيس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6"/>
                <w:szCs w:val="26"/>
                <w:rtl w:val="1"/>
              </w:rPr>
              <w:t xml:space="preserve">للمقرر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المواريث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والوصايا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والوقف</w:t>
            </w:r>
            <w:r w:rsidDel="00000000" w:rsidR="00000000" w:rsidRPr="00000000">
              <w:rPr>
                <w:rtl w:val="1"/>
              </w:rPr>
              <w:t xml:space="preserve"> ، </w:t>
            </w:r>
            <w:r w:rsidDel="00000000" w:rsidR="00000000" w:rsidRPr="00000000">
              <w:rPr>
                <w:rtl w:val="1"/>
              </w:rPr>
              <w:t xml:space="preserve">د</w:t>
            </w:r>
            <w:r w:rsidDel="00000000" w:rsidR="00000000" w:rsidRPr="00000000">
              <w:rPr>
                <w:rtl w:val="1"/>
              </w:rPr>
              <w:t xml:space="preserve">. </w:t>
            </w:r>
            <w:r w:rsidDel="00000000" w:rsidR="00000000" w:rsidRPr="00000000">
              <w:rPr>
                <w:rtl w:val="1"/>
              </w:rPr>
              <w:t xml:space="preserve">علي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ابراهيم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الدهيمي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وعبدالله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بن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مقعد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العتيبي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الكتاب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الجامعي</w:t>
            </w:r>
            <w:r w:rsidDel="00000000" w:rsidR="00000000" w:rsidRPr="00000000">
              <w:rPr>
                <w:rtl w:val="1"/>
              </w:rPr>
              <w:t xml:space="preserve">، 2018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E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المساندة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CF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مباحث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المواريث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الدكتور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مصطفى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مسلم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دار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اإجادة</w:t>
            </w:r>
            <w:r w:rsidDel="00000000" w:rsidR="00000000" w:rsidRPr="00000000">
              <w:rPr>
                <w:rtl w:val="1"/>
              </w:rPr>
              <w:t xml:space="preserve">، </w:t>
            </w:r>
            <w:r w:rsidDel="00000000" w:rsidR="00000000" w:rsidRPr="00000000">
              <w:rPr>
                <w:rtl w:val="1"/>
              </w:rPr>
              <w:t xml:space="preserve">الطبعة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الأولى</w:t>
            </w:r>
            <w:r w:rsidDel="00000000" w:rsidR="00000000" w:rsidRPr="00000000">
              <w:rPr>
                <w:rtl w:val="1"/>
              </w:rPr>
              <w:t xml:space="preserve">، 2020</w:t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D0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الإلكترونية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pBdr>
                <w:top w:color="000000" w:space="1" w:sz="4" w:val="single"/>
                <w:left w:color="000000" w:space="4" w:sz="4" w:val="single"/>
                <w:bottom w:space="0" w:sz="0" w:val="nil"/>
                <w:right w:color="000000" w:space="4" w:sz="4" w:val="single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يستعين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الطالب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بالمواقع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القانونية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الإلكترونية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المختلفة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bidi w:val="1"/>
              <w:jc w:val="both"/>
              <w:rPr/>
            </w:pP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موقع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أستاذ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المادة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الجامعة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والذي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يحتوي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على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كافة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المواقع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النظامية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والقانونية</w:t>
            </w:r>
            <w:r w:rsidDel="00000000" w:rsidR="00000000" w:rsidRPr="00000000">
              <w:rPr>
                <w:rFonts w:ascii="Simplified Arabic" w:cs="Simplified Arabic" w:eastAsia="Simplified Arabic" w:hAnsi="Simplified Arabic"/>
                <w:b w:val="1"/>
                <w:color w:val="000000"/>
                <w:sz w:val="22"/>
                <w:szCs w:val="22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3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  <w:tc>
          <w:tcPr>
            <w:shd w:fill="dbe5f1" w:val="clear"/>
            <w:vAlign w:val="center"/>
          </w:tcPr>
          <w:p w:rsidR="00000000" w:rsidDel="00000000" w:rsidP="00000000" w:rsidRDefault="00000000" w:rsidRPr="00000000" w14:paraId="000001D4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مدونة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الأحكام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القضائية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السعودية</w:t>
            </w:r>
            <w:r w:rsidDel="00000000" w:rsidR="00000000" w:rsidRPr="00000000">
              <w:rPr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D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https://www.moj.gov.sa/ar-sa/ministry/versions/Documents/50.pdf</w:t>
            </w:r>
          </w:p>
        </w:tc>
      </w:tr>
    </w:tbl>
    <w:p w:rsidR="00000000" w:rsidDel="00000000" w:rsidP="00000000" w:rsidRDefault="00000000" w:rsidRPr="00000000" w14:paraId="000001D6">
      <w:pPr>
        <w:pStyle w:val="Heading2"/>
        <w:bidi w:val="1"/>
        <w:rPr>
          <w:sz w:val="14"/>
          <w:szCs w:val="14"/>
        </w:rPr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Style w:val="Heading2"/>
        <w:bidi w:val="1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2. </w:t>
      </w:r>
      <w:r w:rsidDel="00000000" w:rsidR="00000000" w:rsidRPr="00000000">
        <w:rPr>
          <w:rtl w:val="1"/>
        </w:rPr>
        <w:t xml:space="preserve">المرافق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والتجهيزات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المطلوبة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2"/>
        <w:bidiVisual w:val="1"/>
        <w:tblW w:w="9571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840"/>
        <w:gridCol w:w="5731"/>
        <w:tblGridChange w:id="0">
          <w:tblGrid>
            <w:gridCol w:w="3840"/>
            <w:gridCol w:w="5731"/>
          </w:tblGrid>
        </w:tblGridChange>
      </w:tblGrid>
      <w:tr>
        <w:trPr>
          <w:cantSplit w:val="0"/>
          <w:trHeight w:val="439" w:hRule="atLeast"/>
          <w:tblHeader w:val="1"/>
        </w:trPr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العناصر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D9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متطلبات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المقرر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A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المرافق</w:t>
            </w:r>
          </w:p>
          <w:p w:rsidR="00000000" w:rsidDel="00000000" w:rsidP="00000000" w:rsidRDefault="00000000" w:rsidRPr="00000000" w14:paraId="000001DB">
            <w:pPr>
              <w:bidi w:val="1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الدراسية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المختبرات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العرض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،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قاعات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المحاكاة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...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إلخ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C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قاعة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دراسية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مناسبة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لعدد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طلاب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الشعبة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D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التجهيزات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التقنية</w:t>
            </w:r>
          </w:p>
          <w:p w:rsidR="00000000" w:rsidDel="00000000" w:rsidP="00000000" w:rsidRDefault="00000000" w:rsidRPr="00000000" w14:paraId="000001DE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جهاز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عرض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البيانات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السبورة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الذكية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،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البرمجيات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شاشات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عرض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ذكية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مرتبطة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بجهاز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الحاسوب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البروجكتور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مودل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الامير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سلطان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الاتصال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بشبكة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".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bidi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تجهيزات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(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تبعا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ً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لطبيعة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التخصص</w:t>
            </w:r>
            <w:r w:rsidDel="00000000" w:rsidR="00000000" w:rsidRPr="00000000">
              <w:rPr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pStyle w:val="Heading1"/>
        <w:bidi w:val="1"/>
        <w:rPr>
          <w:sz w:val="18"/>
          <w:szCs w:val="18"/>
        </w:rPr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Style w:val="Heading1"/>
        <w:bidi w:val="1"/>
        <w:rPr/>
      </w:pPr>
      <w:r w:rsidDel="00000000" w:rsidR="00000000" w:rsidRPr="00000000">
        <w:rPr>
          <w:rtl w:val="1"/>
        </w:rPr>
        <w:t xml:space="preserve">ز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تقويم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المقرر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13"/>
        <w:bidiVisual w:val="1"/>
        <w:tblW w:w="9571.000000000002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156"/>
        <w:gridCol w:w="3268"/>
        <w:gridCol w:w="3147"/>
        <w:tblGridChange w:id="0">
          <w:tblGrid>
            <w:gridCol w:w="3156"/>
            <w:gridCol w:w="3268"/>
            <w:gridCol w:w="3147"/>
          </w:tblGrid>
        </w:tblGridChange>
      </w:tblGrid>
      <w:tr>
        <w:trPr>
          <w:cantSplit w:val="0"/>
          <w:trHeight w:val="453" w:hRule="atLeast"/>
          <w:tblHeader w:val="1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6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مجالات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التقويم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7">
            <w:pPr>
              <w:bidi w:val="1"/>
              <w:jc w:val="center"/>
              <w:rPr/>
            </w:pPr>
            <w:bookmarkStart w:colFirst="0" w:colLast="0" w:name="_heading=h.2jxsxqh" w:id="17"/>
            <w:bookmarkEnd w:id="17"/>
            <w:r w:rsidDel="00000000" w:rsidR="00000000" w:rsidRPr="00000000">
              <w:rPr>
                <w:b w:val="1"/>
                <w:rtl w:val="1"/>
              </w:rPr>
              <w:t xml:space="preserve">المقيمون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b8cce4" w:val="clear"/>
            <w:vAlign w:val="center"/>
          </w:tcPr>
          <w:p w:rsidR="00000000" w:rsidDel="00000000" w:rsidP="00000000" w:rsidRDefault="00000000" w:rsidRPr="00000000" w14:paraId="000001E8">
            <w:pPr>
              <w:bidi w:val="1"/>
              <w:jc w:val="center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التقييم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bidi w:val="1"/>
              <w:jc w:val="both"/>
              <w:rPr/>
            </w:pPr>
            <w:bookmarkStart w:colFirst="0" w:colLast="0" w:name="_heading=h.z337ya" w:id="18"/>
            <w:bookmarkEnd w:id="18"/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التدريس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bidi w:val="1"/>
              <w:jc w:val="both"/>
              <w:rPr>
                <w:b w:val="1"/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منسق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EB">
            <w:pPr>
              <w:bidi w:val="1"/>
              <w:jc w:val="both"/>
              <w:rPr>
                <w:b w:val="1"/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أعضاء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هيئة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التدريس</w:t>
            </w:r>
          </w:p>
          <w:p w:rsidR="00000000" w:rsidDel="00000000" w:rsidP="00000000" w:rsidRDefault="00000000" w:rsidRPr="00000000" w14:paraId="000001EC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الحضور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الصفي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فاعلية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تقييم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bidi w:val="1"/>
              <w:jc w:val="both"/>
              <w:rPr>
                <w:b w:val="1"/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1">
            <w:pPr>
              <w:bidi w:val="1"/>
              <w:jc w:val="both"/>
              <w:rPr>
                <w:b w:val="1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bidi w:val="1"/>
              <w:jc w:val="both"/>
              <w:rPr>
                <w:b w:val="1"/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الطلاب</w:t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تقرير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تحليل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مدى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تحصيل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للمقرر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bidi w:val="1"/>
              <w:jc w:val="both"/>
              <w:rPr>
                <w:b w:val="1"/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1F9">
            <w:pPr>
              <w:bidi w:val="1"/>
              <w:jc w:val="both"/>
              <w:rPr>
                <w:b w:val="1"/>
                <w:color w:val="36609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إحصائية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الخروج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dashed"/>
              <w:left w:color="000000" w:space="0" w:sz="12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rtl w:val="1"/>
              </w:rPr>
              <w:t xml:space="preserve">جودة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مصادر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التعلم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bidi w:val="1"/>
              <w:jc w:val="both"/>
              <w:rPr>
                <w:b w:val="1"/>
                <w:color w:val="366091"/>
              </w:rPr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200">
            <w:pPr>
              <w:bidi w:val="1"/>
              <w:jc w:val="both"/>
              <w:rPr/>
            </w:pPr>
            <w:r w:rsidDel="00000000" w:rsidR="00000000" w:rsidRPr="00000000">
              <w:rPr>
                <w:b w:val="1"/>
                <w:color w:val="366091"/>
                <w:rtl w:val="1"/>
              </w:rPr>
              <w:t xml:space="preserve">الطلاب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8" w:val="single"/>
              <w:bottom w:color="000000" w:space="0" w:sz="4" w:val="dashed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الطلاب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للمقرر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غير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مباشر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366091"/>
                <w:sz w:val="24"/>
                <w:szCs w:val="24"/>
                <w:u w:val="none"/>
                <w:shd w:fill="auto" w:val="clear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3">
      <w:pPr>
        <w:bidi w:val="1"/>
        <w:rPr>
          <w:color w:val="c00000"/>
          <w:sz w:val="20"/>
          <w:szCs w:val="20"/>
        </w:rPr>
      </w:pPr>
      <w:bookmarkStart w:colFirst="0" w:colLast="0" w:name="_heading=h.3j2qqm3" w:id="19"/>
      <w:bookmarkEnd w:id="19"/>
      <w:r w:rsidDel="00000000" w:rsidR="00000000" w:rsidRPr="00000000">
        <w:rPr>
          <w:color w:val="c00000"/>
          <w:sz w:val="20"/>
          <w:szCs w:val="20"/>
          <w:rtl w:val="1"/>
        </w:rPr>
        <w:t xml:space="preserve">مجالات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التقويم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مثل</w:t>
      </w:r>
      <w:r w:rsidDel="00000000" w:rsidR="00000000" w:rsidRPr="00000000">
        <w:rPr>
          <w:sz w:val="20"/>
          <w:szCs w:val="20"/>
          <w:rtl w:val="1"/>
        </w:rPr>
        <w:t xml:space="preserve">. </w:t>
      </w:r>
      <w:r w:rsidDel="00000000" w:rsidR="00000000" w:rsidRPr="00000000">
        <w:rPr>
          <w:sz w:val="20"/>
          <w:szCs w:val="20"/>
          <w:rtl w:val="1"/>
        </w:rPr>
        <w:t xml:space="preserve">فاعلية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فاعلة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طرق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تقييم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الطلاب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مدى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تحصيل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مخرجات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للمقرر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مصادر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التعلم</w:t>
      </w:r>
      <w:r w:rsidDel="00000000" w:rsidR="00000000" w:rsidRPr="00000000">
        <w:rPr>
          <w:sz w:val="20"/>
          <w:szCs w:val="20"/>
          <w:rtl w:val="1"/>
        </w:rPr>
        <w:t xml:space="preserve"> ... </w:t>
      </w:r>
      <w:r w:rsidDel="00000000" w:rsidR="00000000" w:rsidRPr="00000000">
        <w:rPr>
          <w:sz w:val="20"/>
          <w:szCs w:val="20"/>
          <w:rtl w:val="1"/>
        </w:rPr>
        <w:t xml:space="preserve">إلخ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bidi w:val="1"/>
        <w:rPr>
          <w:sz w:val="20"/>
          <w:szCs w:val="20"/>
        </w:rPr>
      </w:pPr>
      <w:bookmarkStart w:colFirst="0" w:colLast="0" w:name="_heading=h.1y810tw" w:id="20"/>
      <w:bookmarkEnd w:id="20"/>
      <w:r w:rsidDel="00000000" w:rsidR="00000000" w:rsidRPr="00000000">
        <w:rPr>
          <w:color w:val="c00000"/>
          <w:sz w:val="20"/>
          <w:szCs w:val="20"/>
          <w:rtl w:val="1"/>
        </w:rPr>
        <w:t xml:space="preserve">المقيمون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الطلبة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أعضاء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هيئة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التدريس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قيادات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البرنامج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المراجع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النظير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أخرى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يتم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تحديدها</w:t>
      </w:r>
      <w:r w:rsidDel="00000000" w:rsidR="00000000" w:rsidRPr="00000000">
        <w:rPr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205">
      <w:pPr>
        <w:bidi w:val="1"/>
        <w:rPr>
          <w:color w:val="c00000"/>
          <w:sz w:val="20"/>
          <w:szCs w:val="20"/>
        </w:rPr>
      </w:pPr>
      <w:r w:rsidDel="00000000" w:rsidR="00000000" w:rsidRPr="00000000">
        <w:rPr>
          <w:color w:val="c00000"/>
          <w:sz w:val="20"/>
          <w:szCs w:val="20"/>
          <w:rtl w:val="1"/>
        </w:rPr>
        <w:t xml:space="preserve">طرق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التقييم</w:t>
      </w:r>
      <w:r w:rsidDel="00000000" w:rsidR="00000000" w:rsidRPr="00000000">
        <w:rPr>
          <w:color w:val="c00000"/>
          <w:sz w:val="20"/>
          <w:szCs w:val="20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(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وغير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مباشر</w:t>
      </w:r>
      <w:r w:rsidDel="00000000" w:rsidR="00000000" w:rsidRPr="00000000">
        <w:rPr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bidi w:val="1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Style w:val="Heading1"/>
        <w:bidi w:val="1"/>
        <w:rPr/>
      </w:pPr>
      <w:bookmarkStart w:colFirst="0" w:colLast="0" w:name="_heading=h.4i7ojhp" w:id="21"/>
      <w:bookmarkEnd w:id="21"/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اعتماد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التوصيف</w:t>
      </w:r>
      <w:r w:rsidDel="00000000" w:rsidR="00000000" w:rsidRPr="00000000">
        <w:rPr>
          <w:rtl w:val="1"/>
        </w:rPr>
        <w:t xml:space="preserve"> </w:t>
      </w:r>
    </w:p>
    <w:tbl>
      <w:tblPr>
        <w:tblStyle w:val="Table14"/>
        <w:bidiVisual w:val="1"/>
        <w:tblW w:w="9325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dashed"/>
          <w:insideV w:color="000000" w:space="0" w:sz="8" w:val="single"/>
        </w:tblBorders>
        <w:tblLayout w:type="fixed"/>
        <w:tblLook w:val="0600"/>
      </w:tblPr>
      <w:tblGrid>
        <w:gridCol w:w="1792"/>
        <w:gridCol w:w="7533"/>
        <w:tblGridChange w:id="0">
          <w:tblGrid>
            <w:gridCol w:w="1792"/>
            <w:gridCol w:w="7533"/>
          </w:tblGrid>
        </w:tblGridChange>
      </w:tblGrid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8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جهة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الاعتماد</w:t>
            </w:r>
          </w:p>
        </w:tc>
        <w:tc>
          <w:tcPr/>
          <w:p w:rsidR="00000000" w:rsidDel="00000000" w:rsidP="00000000" w:rsidRDefault="00000000" w:rsidRPr="00000000" w14:paraId="00000209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الدراسية</w:t>
            </w:r>
          </w:p>
          <w:p w:rsidR="00000000" w:rsidDel="00000000" w:rsidP="00000000" w:rsidRDefault="00000000" w:rsidRPr="00000000" w14:paraId="0000020A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القسم</w:t>
            </w:r>
          </w:p>
          <w:p w:rsidR="00000000" w:rsidDel="00000000" w:rsidP="00000000" w:rsidRDefault="00000000" w:rsidRPr="00000000" w14:paraId="0000020B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C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رقم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D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الجلسة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الخامسة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لمجلس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21/22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0E">
            <w:pPr>
              <w:bidi w:val="1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mallCaps w:val="1"/>
                <w:rtl w:val="1"/>
              </w:rPr>
              <w:t xml:space="preserve">الجلسة</w:t>
            </w:r>
          </w:p>
        </w:tc>
        <w:tc>
          <w:tcPr/>
          <w:p w:rsidR="00000000" w:rsidDel="00000000" w:rsidP="00000000" w:rsidRDefault="00000000" w:rsidRPr="00000000" w14:paraId="0000020F">
            <w:pPr>
              <w:bidi w:val="1"/>
              <w:spacing w:before="240" w:line="276" w:lineRule="auto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21/2/2022</w:t>
            </w:r>
          </w:p>
        </w:tc>
      </w:tr>
    </w:tbl>
    <w:p w:rsidR="00000000" w:rsidDel="00000000" w:rsidP="00000000" w:rsidRDefault="00000000" w:rsidRPr="00000000" w14:paraId="00000210">
      <w:pPr>
        <w:bidi w:val="1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even"/>
      <w:pgSz w:h="16840" w:w="11907" w:orient="portrait"/>
      <w:pgMar w:bottom="1418" w:top="1134" w:left="1134" w:right="141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Simplified Arabic"/>
  <w:font w:name="Courier New"/>
  <w:font w:name="Noto Sans Symbols"/>
  <w:font w:name="STXi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-371029</wp:posOffset>
          </wp:positionV>
          <wp:extent cx="7313289" cy="761800"/>
          <wp:effectExtent b="0" l="0" r="0" t="0"/>
          <wp:wrapNone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3289" cy="761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056440" y="3579975"/>
                        <a:ext cx="57912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DIN Next LT W23" w:cs="DIN Next LT W23" w:eastAsia="DIN Next LT W23" w:hAnsi="DIN Next LT W23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8"/>
                              <w:vertAlign w:val="baseline"/>
                            </w:rPr>
                            <w:t xml:space="preserve"> PAGE   \* MERGEFORMAT 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-241299</wp:posOffset>
              </wp:positionV>
              <wp:extent cx="588645" cy="409575"/>
              <wp:effectExtent b="0" l="0" r="0" t="0"/>
              <wp:wrapSquare wrapText="bothSides" distB="0" distT="0" distL="114300" distR="114300"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645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-547420</wp:posOffset>
          </wp:positionH>
          <wp:positionV relativeFrom="paragraph">
            <wp:posOffset>-72465</wp:posOffset>
          </wp:positionV>
          <wp:extent cx="7127737" cy="10080000"/>
          <wp:effectExtent b="0" l="0" r="0" t="0"/>
          <wp:wrapNone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360" w:hanging="360"/>
      </w:pPr>
      <w:rPr>
        <w:rFonts w:ascii="STXihei" w:cs="STXihei" w:eastAsia="STXihei" w:hAnsi="STXihe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bidi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ind w:left="446" w:hanging="446"/>
    </w:pPr>
    <w:rPr>
      <w:b w:val="1"/>
    </w:rPr>
  </w:style>
  <w:style w:type="paragraph" w:styleId="Heading6">
    <w:name w:val="heading 6"/>
    <w:basedOn w:val="Normal"/>
    <w:next w:val="Normal"/>
    <w:pPr>
      <w:keepNext w:val="1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 w:val="1"/>
    <w:qFormat w:val="1"/>
    <w:rsid w:val="00283B54"/>
    <w:pPr>
      <w:keepNext w:val="1"/>
      <w:bidi w:val="1"/>
      <w:outlineLvl w:val="0"/>
    </w:pPr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 w:val="1"/>
    <w:qFormat w:val="1"/>
    <w:rsid w:val="005C735D"/>
    <w:pPr>
      <w:keepNext w:val="1"/>
      <w:bidi w:val="1"/>
      <w:outlineLvl w:val="1"/>
    </w:pPr>
    <w:rPr>
      <w:rFonts w:asciiTheme="majorBidi" w:cstheme="majorBidi" w:hAnsiTheme="majorBidi"/>
      <w:b w:val="1"/>
      <w:bCs w:val="1"/>
    </w:rPr>
  </w:style>
  <w:style w:type="paragraph" w:styleId="Heading3">
    <w:name w:val="heading 3"/>
    <w:basedOn w:val="Normal"/>
    <w:next w:val="Normal"/>
    <w:link w:val="Heading3Char"/>
    <w:qFormat w:val="1"/>
    <w:rsid w:val="00B1176F"/>
    <w:pPr>
      <w:keepNext w:val="1"/>
      <w:jc w:val="center"/>
      <w:outlineLvl w:val="2"/>
    </w:pPr>
    <w:rPr>
      <w:b w:val="1"/>
      <w:bCs w:val="1"/>
      <w:sz w:val="32"/>
    </w:rPr>
  </w:style>
  <w:style w:type="paragraph" w:styleId="Heading4">
    <w:name w:val="heading 4"/>
    <w:basedOn w:val="Normal"/>
    <w:next w:val="Normal"/>
    <w:link w:val="Heading4Char"/>
    <w:qFormat w:val="1"/>
    <w:rsid w:val="00B1176F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Heading5">
    <w:name w:val="heading 5"/>
    <w:basedOn w:val="Normal"/>
    <w:next w:val="Normal"/>
    <w:link w:val="Heading5Char"/>
    <w:qFormat w:val="1"/>
    <w:rsid w:val="00B1176F"/>
    <w:pPr>
      <w:keepNext w:val="1"/>
      <w:ind w:left="446" w:hanging="446"/>
      <w:outlineLvl w:val="4"/>
    </w:pPr>
    <w:rPr>
      <w:b w:val="1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 w:val="1"/>
    <w:rsid w:val="00B1176F"/>
    <w:pPr>
      <w:keepNext w:val="1"/>
      <w:outlineLvl w:val="5"/>
    </w:pPr>
    <w:rPr>
      <w:b w:val="1"/>
      <w:bCs w:val="1"/>
      <w:szCs w:val="28"/>
    </w:rPr>
  </w:style>
  <w:style w:type="paragraph" w:styleId="Heading7">
    <w:name w:val="heading 7"/>
    <w:basedOn w:val="Normal"/>
    <w:next w:val="Normal"/>
    <w:link w:val="Heading7Char"/>
    <w:qFormat w:val="1"/>
    <w:rsid w:val="00B1176F"/>
    <w:pPr>
      <w:spacing w:after="60" w:before="240"/>
      <w:outlineLvl w:val="6"/>
    </w:pPr>
  </w:style>
  <w:style w:type="paragraph" w:styleId="Heading8">
    <w:name w:val="heading 8"/>
    <w:basedOn w:val="Normal"/>
    <w:next w:val="Normal"/>
    <w:link w:val="Heading8Char"/>
    <w:qFormat w:val="1"/>
    <w:rsid w:val="00B1176F"/>
    <w:pPr>
      <w:spacing w:after="60" w:before="240"/>
      <w:outlineLvl w:val="7"/>
    </w:pPr>
    <w:rPr>
      <w:i w:val="1"/>
      <w:iCs w:val="1"/>
    </w:rPr>
  </w:style>
  <w:style w:type="paragraph" w:styleId="Heading9">
    <w:name w:val="heading 9"/>
    <w:basedOn w:val="Normal"/>
    <w:next w:val="Normal"/>
    <w:link w:val="Heading9Char"/>
    <w:qFormat w:val="1"/>
    <w:rsid w:val="00B1176F"/>
    <w:pPr>
      <w:spacing w:after="60" w:before="24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 w:val="1"/>
      <w:bCs w:val="1"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 w:val="1"/>
    <w:rsid w:val="00B1176F"/>
    <w:rPr>
      <w:b w:val="1"/>
      <w:bCs w:val="1"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color="auto" w:fill="000080" w:val="clear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 w:val="1"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 w:val="1"/>
    <w:rsid w:val="00FC79D1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FC79D1"/>
    <w:rPr>
      <w:rFonts w:ascii="Tahoma" w:cs="Tahoma" w:hAnsi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 w:val="1"/>
    <w:rsid w:val="00A37EA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DB194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70372"/>
    <w:pPr>
      <w:keepLines w:val="1"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7D4EF1"/>
    <w:pPr>
      <w:tabs>
        <w:tab w:val="right" w:leader="dot" w:pos="8630"/>
      </w:tabs>
      <w:bidi w:val="1"/>
      <w:spacing w:after="100"/>
    </w:pPr>
    <w:rPr>
      <w:b w:val="1"/>
      <w:bCs w:val="1"/>
      <w:noProof w:val="1"/>
      <w:lang w:bidi="ar-EG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470372"/>
    <w:pPr>
      <w:spacing w:after="100"/>
      <w:ind w:left="480"/>
    </w:pPr>
  </w:style>
  <w:style w:type="character" w:styleId="Hyperlink">
    <w:name w:val="Hyperlink"/>
    <w:uiPriority w:val="99"/>
    <w:unhideWhenUsed w:val="1"/>
    <w:rsid w:val="00470372"/>
    <w:rPr>
      <w:color w:val="0000ff"/>
      <w:u w:val="single"/>
    </w:rPr>
  </w:style>
  <w:style w:type="character" w:styleId="FooterChar" w:customStyle="1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 w:val="1"/>
    <w:rsid w:val="00E54C65"/>
    <w:rPr>
      <w:b w:val="1"/>
      <w:bCs w:val="1"/>
    </w:rPr>
  </w:style>
  <w:style w:type="character" w:styleId="Heading3Char" w:customStyle="1">
    <w:name w:val="Heading 3 Char"/>
    <w:link w:val="Heading3"/>
    <w:rsid w:val="00A3606A"/>
    <w:rPr>
      <w:b w:val="1"/>
      <w:bCs w:val="1"/>
      <w:sz w:val="32"/>
      <w:szCs w:val="24"/>
    </w:rPr>
  </w:style>
  <w:style w:type="character" w:styleId="HeaderChar" w:customStyle="1">
    <w:name w:val="Header Char"/>
    <w:link w:val="Header"/>
    <w:uiPriority w:val="99"/>
    <w:rsid w:val="00A3606A"/>
    <w:rPr>
      <w:sz w:val="24"/>
      <w:szCs w:val="24"/>
    </w:rPr>
  </w:style>
  <w:style w:type="character" w:styleId="Heading7Char" w:customStyle="1">
    <w:name w:val="Heading 7 Char"/>
    <w:link w:val="Heading7"/>
    <w:rsid w:val="00886520"/>
    <w:rPr>
      <w:sz w:val="24"/>
      <w:szCs w:val="24"/>
    </w:rPr>
  </w:style>
  <w:style w:type="character" w:styleId="BodyTextChar" w:customStyle="1">
    <w:name w:val="Body Text Char"/>
    <w:link w:val="BodyText"/>
    <w:rsid w:val="00886520"/>
    <w:rPr>
      <w:b w:val="1"/>
      <w:bCs w:val="1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rsid w:val="00886520"/>
  </w:style>
  <w:style w:type="character" w:styleId="SubtitleChar" w:customStyle="1">
    <w:name w:val="Subtitle Char"/>
    <w:link w:val="Subtitle"/>
    <w:rsid w:val="00886520"/>
    <w:rPr>
      <w:b w:val="1"/>
      <w:bCs w:val="1"/>
      <w:sz w:val="28"/>
      <w:szCs w:val="28"/>
    </w:rPr>
  </w:style>
  <w:style w:type="paragraph" w:styleId="yiv2125367492msonormal" w:customStyle="1">
    <w:name w:val="yiv2125367492msonormal"/>
    <w:basedOn w:val="Normal"/>
    <w:rsid w:val="00D47DF9"/>
    <w:pPr>
      <w:spacing w:after="100" w:afterAutospacing="1" w:before="100" w:beforeAutospacing="1"/>
    </w:pPr>
  </w:style>
  <w:style w:type="character" w:styleId="TitleChar" w:customStyle="1">
    <w:name w:val="Title Char"/>
    <w:link w:val="Title"/>
    <w:rsid w:val="00D47DF9"/>
    <w:rPr>
      <w:sz w:val="32"/>
      <w:szCs w:val="32"/>
      <w:lang w:val="en-GB"/>
    </w:rPr>
  </w:style>
  <w:style w:type="character" w:styleId="Heading1Char" w:customStyle="1">
    <w:name w:val="Heading 1 Char"/>
    <w:link w:val="Heading1"/>
    <w:rsid w:val="00283B54"/>
    <w:rPr>
      <w:rFonts w:asciiTheme="majorBidi" w:cstheme="majorBidi" w:hAnsiTheme="majorBidi"/>
      <w:b w:val="1"/>
      <w:bCs w:val="1"/>
      <w:color w:val="365f91" w:themeColor="accent1" w:themeShade="0000BF"/>
      <w:sz w:val="28"/>
      <w:szCs w:val="28"/>
      <w:lang w:bidi="ar-EG"/>
    </w:rPr>
  </w:style>
  <w:style w:type="character" w:styleId="Heading2Char" w:customStyle="1">
    <w:name w:val="Heading 2 Char"/>
    <w:link w:val="Heading2"/>
    <w:rsid w:val="005C735D"/>
    <w:rPr>
      <w:rFonts w:asciiTheme="majorBidi" w:cstheme="majorBidi" w:hAnsiTheme="majorBidi"/>
      <w:b w:val="1"/>
      <w:bCs w:val="1"/>
      <w:sz w:val="24"/>
      <w:szCs w:val="24"/>
    </w:rPr>
  </w:style>
  <w:style w:type="character" w:styleId="Heading4Char" w:customStyle="1">
    <w:name w:val="Heading 4 Char"/>
    <w:link w:val="Heading4"/>
    <w:rsid w:val="00D47DF9"/>
    <w:rPr>
      <w:b w:val="1"/>
      <w:bCs w:val="1"/>
      <w:sz w:val="28"/>
      <w:szCs w:val="28"/>
    </w:rPr>
  </w:style>
  <w:style w:type="character" w:styleId="Heading5Char" w:customStyle="1">
    <w:name w:val="Heading 5 Char"/>
    <w:link w:val="Heading5"/>
    <w:rsid w:val="00D47DF9"/>
    <w:rPr>
      <w:b w:val="1"/>
      <w:sz w:val="24"/>
      <w:szCs w:val="28"/>
      <w:lang w:bidi="ar-EG"/>
    </w:rPr>
  </w:style>
  <w:style w:type="character" w:styleId="Heading6Char" w:customStyle="1">
    <w:name w:val="Heading 6 Char"/>
    <w:link w:val="Heading6"/>
    <w:rsid w:val="00D47DF9"/>
    <w:rPr>
      <w:b w:val="1"/>
      <w:bCs w:val="1"/>
      <w:sz w:val="24"/>
      <w:szCs w:val="28"/>
    </w:rPr>
  </w:style>
  <w:style w:type="character" w:styleId="Heading8Char" w:customStyle="1">
    <w:name w:val="Heading 8 Char"/>
    <w:link w:val="Heading8"/>
    <w:rsid w:val="00D47DF9"/>
    <w:rPr>
      <w:i w:val="1"/>
      <w:iCs w:val="1"/>
      <w:sz w:val="24"/>
      <w:szCs w:val="24"/>
    </w:rPr>
  </w:style>
  <w:style w:type="character" w:styleId="Heading9Char" w:customStyle="1">
    <w:name w:val="Heading 9 Char"/>
    <w:link w:val="Heading9"/>
    <w:rsid w:val="00D47DF9"/>
    <w:rPr>
      <w:rFonts w:ascii="Arial" w:cs="Arial" w:hAnsi="Arial"/>
      <w:sz w:val="22"/>
      <w:szCs w:val="22"/>
    </w:rPr>
  </w:style>
  <w:style w:type="character" w:styleId="BodyTextIndentChar" w:customStyle="1">
    <w:name w:val="Body Text Indent Char"/>
    <w:link w:val="BodyTextIndent"/>
    <w:rsid w:val="00D47DF9"/>
    <w:rPr>
      <w:sz w:val="24"/>
      <w:szCs w:val="24"/>
    </w:rPr>
  </w:style>
  <w:style w:type="character" w:styleId="BodyText2Char" w:customStyle="1">
    <w:name w:val="Body Text 2 Char"/>
    <w:link w:val="BodyText2"/>
    <w:rsid w:val="00D47DF9"/>
    <w:rPr>
      <w:b w:val="1"/>
      <w:bCs w:val="1"/>
      <w:sz w:val="28"/>
      <w:szCs w:val="28"/>
    </w:rPr>
  </w:style>
  <w:style w:type="character" w:styleId="BodyTextIndent2Char" w:customStyle="1">
    <w:name w:val="Body Text Indent 2 Char"/>
    <w:link w:val="BodyTextIndent2"/>
    <w:rsid w:val="00D47DF9"/>
    <w:rPr>
      <w:szCs w:val="24"/>
    </w:rPr>
  </w:style>
  <w:style w:type="character" w:styleId="BodyText3Char" w:customStyle="1">
    <w:name w:val="Body Text 3 Char"/>
    <w:link w:val="BodyText3"/>
    <w:rsid w:val="00D47DF9"/>
    <w:rPr>
      <w:lang w:bidi="ar-EG"/>
    </w:rPr>
  </w:style>
  <w:style w:type="character" w:styleId="DocumentMapChar" w:customStyle="1">
    <w:name w:val="Document Map Char"/>
    <w:link w:val="DocumentMap"/>
    <w:rsid w:val="00D47DF9"/>
    <w:rPr>
      <w:rFonts w:ascii="Tahoma" w:cs="Tahoma" w:hAnsi="Tahoma"/>
      <w:shd w:color="auto" w:fill="000080" w:val="clear"/>
    </w:rPr>
  </w:style>
  <w:style w:type="character" w:styleId="apple-converted-space" w:customStyle="1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F5FB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F5FB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F5FBB"/>
    <w:rPr>
      <w:b w:val="1"/>
      <w:bCs w:val="1"/>
    </w:rPr>
  </w:style>
  <w:style w:type="table" w:styleId="GridTable5Dark-Accent11" w:customStyle="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paragraph" w:styleId="NoSpacing">
    <w:name w:val="No Spacing"/>
    <w:uiPriority w:val="1"/>
    <w:qFormat w:val="1"/>
    <w:rsid w:val="00EF018C"/>
    <w:rPr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E11181"/>
    <w:pPr>
      <w:spacing w:after="100" w:afterAutospacing="1" w:before="100" w:beforeAutospacing="1"/>
    </w:pPr>
    <w:rPr>
      <w:lang w:eastAsia="en-GB" w:val="en-GB"/>
    </w:rPr>
  </w:style>
  <w:style w:type="paragraph" w:styleId="Subtitle">
    <w:name w:val="Subtitle"/>
    <w:basedOn w:val="Normal"/>
    <w:next w:val="Normal"/>
    <w:pPr/>
    <w:rPr>
      <w:b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be5f1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h11Gs8dYLzW+NiOZnM679ycYA==">AMUW2mXumX40WQPX7t8i/XBwh35ftMY2+ccH5w+eM9aaPVCPgcjIKRU55PjRToS2limdV3a5auZMDIg7oIk/1xu0j2BcCjXUw28QRETJpd56CeZs47on7WbKIyE/zvpvR+1yGiXr8oU1khONo0QQHRgrSK+DOQhQ+0zebXUaj8zO4ZeU4KNaRFWZwO353Rud3n2u8COyxZpM8bYxw7WTWgGvawrJ874DZHQmHugphs2UgMc2qGW2OZo/Pf3sPH7ahK6tFhbqnXxNYwqPzRAziIOSFKF+QTOrwr4JkszacBunPoGvyUTGUkRVF2gH5SQKqZvxH0dLPebXUaSzaXF+HyCyuYn6wsQe4cwynqOHbImkIt7CMXOBEdio7Sr2kKhLT+2nJyQQcGLl0w269hxNK04eW6VC7LPq/xMHieOH4GUnymP2EU/O9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2022-01-30T06:49:00Z</dcterms:created>
  <dc:creator>Ian Allen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